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8E" w:rsidRPr="004174D7" w:rsidRDefault="0081318E" w:rsidP="004174D7">
      <w:pPr>
        <w:pStyle w:val="Style1"/>
        <w:widowControl/>
        <w:spacing w:line="250" w:lineRule="exact"/>
        <w:rPr>
          <w:rStyle w:val="FontStyle17"/>
          <w:rFonts w:ascii="Arial" w:hAnsi="Arial" w:cs="Arial"/>
        </w:rPr>
      </w:pPr>
      <w:r w:rsidRPr="004174D7">
        <w:rPr>
          <w:rStyle w:val="FontStyle17"/>
          <w:rFonts w:ascii="Arial" w:hAnsi="Arial" w:cs="Arial"/>
        </w:rPr>
        <w:t>Št. projekta:</w:t>
      </w:r>
    </w:p>
    <w:p w:rsidR="0081318E" w:rsidRPr="004174D7" w:rsidRDefault="0081318E" w:rsidP="004174D7">
      <w:pPr>
        <w:pStyle w:val="Style1"/>
        <w:widowControl/>
        <w:spacing w:line="250" w:lineRule="exact"/>
        <w:rPr>
          <w:rStyle w:val="FontStyle17"/>
          <w:rFonts w:ascii="Arial" w:hAnsi="Arial" w:cs="Arial"/>
        </w:rPr>
      </w:pPr>
      <w:r w:rsidRPr="004174D7">
        <w:rPr>
          <w:rStyle w:val="FontStyle17"/>
          <w:rFonts w:ascii="Arial" w:hAnsi="Arial" w:cs="Arial"/>
        </w:rPr>
        <w:t>Številka:</w:t>
      </w:r>
    </w:p>
    <w:p w:rsidR="0081318E" w:rsidRPr="004174D7" w:rsidRDefault="0081318E" w:rsidP="004174D7">
      <w:pPr>
        <w:pStyle w:val="Style1"/>
        <w:widowControl/>
        <w:spacing w:line="250" w:lineRule="exact"/>
        <w:rPr>
          <w:rStyle w:val="FontStyle17"/>
          <w:rFonts w:ascii="Arial" w:hAnsi="Arial" w:cs="Arial"/>
        </w:rPr>
      </w:pPr>
      <w:r w:rsidRPr="004174D7">
        <w:rPr>
          <w:rStyle w:val="FontStyle17"/>
          <w:rFonts w:ascii="Arial" w:hAnsi="Arial" w:cs="Arial"/>
        </w:rPr>
        <w:t>Datum:</w:t>
      </w:r>
    </w:p>
    <w:p w:rsidR="00EB633D" w:rsidRPr="004174D7" w:rsidRDefault="0081318E" w:rsidP="004174D7">
      <w:pPr>
        <w:pStyle w:val="Style3"/>
        <w:widowControl/>
        <w:spacing w:line="240" w:lineRule="exact"/>
        <w:jc w:val="both"/>
        <w:rPr>
          <w:rStyle w:val="FontStyle17"/>
          <w:rFonts w:ascii="Arial" w:hAnsi="Arial" w:cs="Arial"/>
          <w:b/>
          <w:i/>
          <w:u w:val="single"/>
        </w:rPr>
      </w:pPr>
      <w:r w:rsidRPr="004174D7">
        <w:rPr>
          <w:rStyle w:val="FontStyle17"/>
          <w:rFonts w:ascii="Arial" w:hAnsi="Arial" w:cs="Arial"/>
          <w:highlight w:val="yellow"/>
        </w:rPr>
        <w:br w:type="column"/>
      </w:r>
      <w:r w:rsidRPr="004174D7">
        <w:rPr>
          <w:rStyle w:val="FontStyle17"/>
          <w:rFonts w:ascii="Arial" w:hAnsi="Arial" w:cs="Arial"/>
          <w:b/>
          <w:i/>
          <w:u w:val="single"/>
        </w:rPr>
        <w:t>Naziv projekta:</w:t>
      </w:r>
    </w:p>
    <w:p w:rsidR="0089557E" w:rsidRPr="004174D7" w:rsidRDefault="00EE4CDE" w:rsidP="004174D7">
      <w:pPr>
        <w:pStyle w:val="Style3"/>
        <w:widowControl/>
        <w:spacing w:before="19" w:line="240" w:lineRule="auto"/>
        <w:jc w:val="both"/>
        <w:rPr>
          <w:rStyle w:val="FontStyle17"/>
          <w:rFonts w:ascii="Arial" w:hAnsi="Arial" w:cs="Arial"/>
          <w:b/>
        </w:rPr>
      </w:pPr>
      <w:r w:rsidRPr="004174D7">
        <w:rPr>
          <w:rStyle w:val="FontStyle17"/>
          <w:rFonts w:ascii="Arial" w:hAnsi="Arial" w:cs="Arial"/>
          <w:b/>
        </w:rPr>
        <w:t>Izvedba pasivne protihrupne zaščite stavb na območju občine Litija ob glavni železniški progi št. 10</w:t>
      </w:r>
    </w:p>
    <w:p w:rsidR="00EE4CDE" w:rsidRPr="004174D7" w:rsidRDefault="00EE4CDE" w:rsidP="004174D7">
      <w:pPr>
        <w:pStyle w:val="Style3"/>
        <w:widowControl/>
        <w:spacing w:before="19" w:line="240" w:lineRule="auto"/>
        <w:jc w:val="both"/>
        <w:rPr>
          <w:rStyle w:val="FontStyle17"/>
          <w:rFonts w:ascii="Arial" w:hAnsi="Arial" w:cs="Arial"/>
        </w:rPr>
      </w:pPr>
    </w:p>
    <w:p w:rsidR="0081318E" w:rsidRPr="004174D7" w:rsidRDefault="00BF07C5" w:rsidP="004174D7">
      <w:pPr>
        <w:pStyle w:val="Style3"/>
        <w:widowControl/>
        <w:spacing w:before="19" w:line="240" w:lineRule="auto"/>
        <w:jc w:val="both"/>
        <w:rPr>
          <w:rStyle w:val="FontStyle17"/>
          <w:rFonts w:ascii="Arial" w:hAnsi="Arial" w:cs="Arial"/>
        </w:rPr>
        <w:sectPr w:rsidR="0081318E" w:rsidRPr="004174D7" w:rsidSect="00606CBD">
          <w:type w:val="continuous"/>
          <w:pgSz w:w="11905" w:h="16837"/>
          <w:pgMar w:top="795" w:right="1716" w:bottom="297" w:left="1304" w:header="708" w:footer="708" w:gutter="0"/>
          <w:cols w:num="2" w:space="708" w:equalWidth="0">
            <w:col w:w="2807" w:space="851"/>
            <w:col w:w="5226"/>
          </w:cols>
          <w:noEndnote/>
        </w:sectPr>
      </w:pPr>
      <w:r w:rsidRPr="004174D7">
        <w:rPr>
          <w:rStyle w:val="FontStyle17"/>
          <w:rFonts w:ascii="Arial" w:hAnsi="Arial" w:cs="Arial"/>
        </w:rPr>
        <w:t xml:space="preserve"> </w:t>
      </w:r>
    </w:p>
    <w:p w:rsidR="00221ED5" w:rsidRPr="00221ED5" w:rsidRDefault="00221ED5" w:rsidP="00221ED5">
      <w:pPr>
        <w:pStyle w:val="Style4"/>
        <w:widowControl/>
        <w:spacing w:before="43" w:line="240" w:lineRule="auto"/>
        <w:rPr>
          <w:rStyle w:val="FontStyle16"/>
          <w:rFonts w:ascii="Arial" w:hAnsi="Arial" w:cs="Arial"/>
          <w:b w:val="0"/>
        </w:rPr>
      </w:pPr>
    </w:p>
    <w:p w:rsidR="0081318E" w:rsidRPr="00221ED5" w:rsidRDefault="0081318E" w:rsidP="00221ED5">
      <w:pPr>
        <w:pStyle w:val="Style4"/>
        <w:widowControl/>
        <w:spacing w:before="43" w:line="240" w:lineRule="auto"/>
        <w:rPr>
          <w:rStyle w:val="FontStyle16"/>
          <w:rFonts w:ascii="Arial" w:hAnsi="Arial" w:cs="Arial"/>
          <w:sz w:val="24"/>
          <w:szCs w:val="24"/>
        </w:rPr>
      </w:pPr>
      <w:r w:rsidRPr="00221ED5">
        <w:rPr>
          <w:rStyle w:val="FontStyle16"/>
          <w:rFonts w:ascii="Arial" w:hAnsi="Arial" w:cs="Arial"/>
          <w:sz w:val="24"/>
          <w:szCs w:val="24"/>
        </w:rPr>
        <w:t>PROJEKTNA NALOGA</w:t>
      </w:r>
    </w:p>
    <w:p w:rsidR="0081318E" w:rsidRPr="004174D7" w:rsidRDefault="0081318E" w:rsidP="004174D7">
      <w:pPr>
        <w:pStyle w:val="Style4"/>
        <w:widowControl/>
        <w:spacing w:line="240" w:lineRule="exact"/>
        <w:jc w:val="both"/>
        <w:rPr>
          <w:rFonts w:ascii="Arial" w:hAnsi="Arial" w:cs="Arial"/>
          <w:sz w:val="20"/>
          <w:szCs w:val="20"/>
        </w:rPr>
      </w:pPr>
    </w:p>
    <w:p w:rsidR="000E2899" w:rsidRPr="004174D7" w:rsidRDefault="000446AA" w:rsidP="00221ED5">
      <w:pPr>
        <w:pStyle w:val="Style4"/>
        <w:widowControl/>
        <w:spacing w:before="19"/>
        <w:rPr>
          <w:rStyle w:val="FontStyle17"/>
          <w:rFonts w:ascii="Arial" w:hAnsi="Arial" w:cs="Arial"/>
          <w:b/>
        </w:rPr>
      </w:pPr>
      <w:r w:rsidRPr="004174D7">
        <w:rPr>
          <w:rStyle w:val="FontStyle16"/>
          <w:rFonts w:ascii="Arial" w:hAnsi="Arial" w:cs="Arial"/>
        </w:rPr>
        <w:t xml:space="preserve">za izvedbo </w:t>
      </w:r>
      <w:r w:rsidR="00EE4CDE" w:rsidRPr="004174D7">
        <w:rPr>
          <w:rStyle w:val="FontStyle16"/>
          <w:rFonts w:ascii="Arial" w:hAnsi="Arial" w:cs="Arial"/>
        </w:rPr>
        <w:t>pasivne protihrupne zaščite stavb na območju občine Litija ob glavni železniški progi št. 10</w:t>
      </w:r>
    </w:p>
    <w:p w:rsidR="0089557E" w:rsidRPr="004174D7" w:rsidRDefault="0089557E" w:rsidP="004174D7">
      <w:pPr>
        <w:pStyle w:val="Style3"/>
        <w:widowControl/>
        <w:spacing w:before="19" w:line="240" w:lineRule="auto"/>
        <w:jc w:val="both"/>
        <w:rPr>
          <w:rStyle w:val="FontStyle17"/>
          <w:rFonts w:ascii="Arial" w:hAnsi="Arial" w:cs="Arial"/>
          <w:b/>
        </w:rPr>
      </w:pPr>
    </w:p>
    <w:p w:rsidR="0081318E" w:rsidRPr="00221ED5" w:rsidRDefault="0081318E" w:rsidP="00221ED5">
      <w:pPr>
        <w:pStyle w:val="Style4"/>
        <w:widowControl/>
        <w:spacing w:before="360" w:after="240" w:line="240" w:lineRule="auto"/>
        <w:jc w:val="both"/>
        <w:rPr>
          <w:rFonts w:ascii="Arial" w:hAnsi="Arial" w:cs="Arial"/>
          <w:b/>
          <w:bCs/>
          <w:sz w:val="20"/>
          <w:szCs w:val="20"/>
        </w:rPr>
      </w:pPr>
      <w:r w:rsidRPr="004174D7">
        <w:rPr>
          <w:rStyle w:val="FontStyle20"/>
          <w:rFonts w:ascii="Arial" w:hAnsi="Arial" w:cs="Arial"/>
          <w:sz w:val="20"/>
          <w:szCs w:val="20"/>
        </w:rPr>
        <w:t>1.</w:t>
      </w:r>
      <w:r w:rsidR="00221ED5">
        <w:rPr>
          <w:rStyle w:val="FontStyle20"/>
          <w:rFonts w:ascii="Arial" w:hAnsi="Arial" w:cs="Arial"/>
          <w:sz w:val="20"/>
          <w:szCs w:val="20"/>
        </w:rPr>
        <w:t xml:space="preserve"> </w:t>
      </w:r>
      <w:r w:rsidRPr="004174D7">
        <w:rPr>
          <w:rStyle w:val="FontStyle16"/>
          <w:rFonts w:ascii="Arial" w:hAnsi="Arial" w:cs="Arial"/>
        </w:rPr>
        <w:t>PREDSTAVITEV PROBLEMATIKE</w:t>
      </w:r>
    </w:p>
    <w:p w:rsidR="00EE4CDE" w:rsidRPr="004174D7" w:rsidRDefault="00EE4CDE" w:rsidP="00221ED5">
      <w:pPr>
        <w:widowControl/>
        <w:spacing w:after="120"/>
        <w:jc w:val="both"/>
        <w:rPr>
          <w:rFonts w:ascii="Arial" w:hAnsi="Arial" w:cs="Arial"/>
          <w:sz w:val="20"/>
          <w:szCs w:val="20"/>
        </w:rPr>
      </w:pPr>
      <w:r w:rsidRPr="004174D7">
        <w:rPr>
          <w:rFonts w:ascii="Arial" w:hAnsi="Arial" w:cs="Arial"/>
          <w:sz w:val="20"/>
          <w:szCs w:val="20"/>
        </w:rPr>
        <w:t>V nalogi »Obratovalni monitoring, novelacija strateških kart hrupa in izdelava strokovne podlage za Operativni program varstva pred hrupom zaradi žel. prometa za določene odseke žel. prog v RS za obdobje 2018-2023'' (Epi Spektrum d. o. o., PNZ d. o. o., A-projekt d. o. o., št. 2018-026/IMS, november 2019, dopolnjeno julij 2020</w:t>
      </w:r>
      <w:r w:rsidR="007D25EE">
        <w:rPr>
          <w:rFonts w:ascii="Arial" w:hAnsi="Arial" w:cs="Arial"/>
          <w:sz w:val="20"/>
          <w:szCs w:val="20"/>
        </w:rPr>
        <w:t>, v nadaljevanju: monitoring</w:t>
      </w:r>
      <w:r w:rsidRPr="004174D7">
        <w:rPr>
          <w:rFonts w:ascii="Arial" w:hAnsi="Arial" w:cs="Arial"/>
          <w:sz w:val="20"/>
          <w:szCs w:val="20"/>
        </w:rPr>
        <w:t xml:space="preserve">). </w:t>
      </w:r>
      <w:r w:rsidR="007D25EE">
        <w:rPr>
          <w:rFonts w:ascii="Arial" w:hAnsi="Arial" w:cs="Arial"/>
          <w:sz w:val="20"/>
          <w:szCs w:val="20"/>
        </w:rPr>
        <w:t>V monitoringu</w:t>
      </w:r>
      <w:r w:rsidRPr="004174D7">
        <w:rPr>
          <w:rFonts w:ascii="Arial" w:hAnsi="Arial" w:cs="Arial"/>
          <w:sz w:val="20"/>
          <w:szCs w:val="20"/>
        </w:rPr>
        <w:t xml:space="preserve"> je bil oblikovan predlog občin za vključitev v operativni program 2018 – 2023 med katere sodi tudi občina Litija. </w:t>
      </w:r>
      <w:r w:rsidR="00FD425F" w:rsidRPr="004174D7">
        <w:rPr>
          <w:rFonts w:ascii="Arial" w:hAnsi="Arial" w:cs="Arial"/>
          <w:sz w:val="20"/>
          <w:szCs w:val="20"/>
        </w:rPr>
        <w:t xml:space="preserve">Na tej podlagi je bila izdelana Študija obremenitve s hrupom s predlogom protihrupnih ukrepov na območju občine Litija (Epi Spektrum d. o. o., št. 2019-031/PHZ, marec 2020, dopolnitev julij 2020, v nadaljevanju študija hrupa). </w:t>
      </w:r>
      <w:r w:rsidRPr="004174D7">
        <w:rPr>
          <w:rFonts w:ascii="Arial" w:hAnsi="Arial" w:cs="Arial"/>
          <w:sz w:val="20"/>
          <w:szCs w:val="20"/>
        </w:rPr>
        <w:t>Študij</w:t>
      </w:r>
      <w:r w:rsidR="00FD425F" w:rsidRPr="004174D7">
        <w:rPr>
          <w:rFonts w:ascii="Arial" w:hAnsi="Arial" w:cs="Arial"/>
          <w:sz w:val="20"/>
          <w:szCs w:val="20"/>
        </w:rPr>
        <w:t>a hrupa predstavlja</w:t>
      </w:r>
      <w:r w:rsidRPr="004174D7">
        <w:rPr>
          <w:rFonts w:ascii="Arial" w:hAnsi="Arial" w:cs="Arial"/>
          <w:sz w:val="20"/>
          <w:szCs w:val="20"/>
        </w:rPr>
        <w:t xml:space="preserve"> strokovno podlago za načrtovanje ustreznih ukrepov zaščite pred hrupom železniškega prometa.</w:t>
      </w:r>
    </w:p>
    <w:p w:rsidR="00DC27EE" w:rsidRPr="004174D7" w:rsidRDefault="00FD425F" w:rsidP="00221ED5">
      <w:pPr>
        <w:widowControl/>
        <w:spacing w:after="120"/>
        <w:jc w:val="both"/>
        <w:rPr>
          <w:rFonts w:ascii="Arial" w:hAnsi="Arial" w:cs="Arial"/>
          <w:sz w:val="20"/>
          <w:szCs w:val="20"/>
        </w:rPr>
      </w:pPr>
      <w:r w:rsidRPr="004174D7">
        <w:rPr>
          <w:rFonts w:ascii="Arial" w:hAnsi="Arial" w:cs="Arial"/>
          <w:sz w:val="20"/>
          <w:szCs w:val="20"/>
        </w:rPr>
        <w:t>Na podlagi š</w:t>
      </w:r>
      <w:r w:rsidR="00EE4CDE" w:rsidRPr="004174D7">
        <w:rPr>
          <w:rFonts w:ascii="Arial" w:hAnsi="Arial" w:cs="Arial"/>
          <w:sz w:val="20"/>
          <w:szCs w:val="20"/>
        </w:rPr>
        <w:t xml:space="preserve">tudije </w:t>
      </w:r>
      <w:r w:rsidRPr="004174D7">
        <w:rPr>
          <w:rFonts w:ascii="Arial" w:hAnsi="Arial" w:cs="Arial"/>
          <w:sz w:val="20"/>
          <w:szCs w:val="20"/>
        </w:rPr>
        <w:t xml:space="preserve">hrupa </w:t>
      </w:r>
      <w:r w:rsidR="00EE4CDE" w:rsidRPr="004174D7">
        <w:rPr>
          <w:rFonts w:ascii="Arial" w:hAnsi="Arial" w:cs="Arial"/>
          <w:sz w:val="20"/>
          <w:szCs w:val="20"/>
        </w:rPr>
        <w:t>je kot protihrupni ukrep na obravnavanem območju predvidena aktivna protihrupna zaščita (</w:t>
      </w:r>
      <w:r w:rsidRPr="004174D7">
        <w:rPr>
          <w:rFonts w:ascii="Arial" w:hAnsi="Arial" w:cs="Arial"/>
          <w:sz w:val="20"/>
          <w:szCs w:val="20"/>
        </w:rPr>
        <w:t>enajst sklopov</w:t>
      </w:r>
      <w:r w:rsidR="00EE4CDE" w:rsidRPr="004174D7">
        <w:rPr>
          <w:rFonts w:ascii="Arial" w:hAnsi="Arial" w:cs="Arial"/>
          <w:sz w:val="20"/>
          <w:szCs w:val="20"/>
        </w:rPr>
        <w:t xml:space="preserve"> protihrupnih ograj</w:t>
      </w:r>
      <w:r w:rsidRPr="004174D7">
        <w:rPr>
          <w:rFonts w:ascii="Arial" w:hAnsi="Arial" w:cs="Arial"/>
          <w:sz w:val="20"/>
          <w:szCs w:val="20"/>
        </w:rPr>
        <w:t xml:space="preserve"> v skupni dolžini 8,5 km</w:t>
      </w:r>
      <w:r w:rsidR="00EE4CDE" w:rsidRPr="004174D7">
        <w:rPr>
          <w:rFonts w:ascii="Arial" w:hAnsi="Arial" w:cs="Arial"/>
          <w:sz w:val="20"/>
          <w:szCs w:val="20"/>
        </w:rPr>
        <w:t>) in pasivna protihrupna zaščita posameznih stavb z varovanimi prostori. Za izvedbo pasivne protihrupne zaščite je izdelan Elaborat pasivne protihrupne zaščite na območju občine Litija ob glavni železniški progi št. 10 (A-projekt d. o. o., št. Aprojekt 10/2022 in ZAG, št. 261/21-520-1,</w:t>
      </w:r>
      <w:r w:rsidR="007D25EE">
        <w:rPr>
          <w:rFonts w:ascii="Arial" w:hAnsi="Arial" w:cs="Arial"/>
          <w:sz w:val="20"/>
          <w:szCs w:val="20"/>
        </w:rPr>
        <w:t xml:space="preserve"> februar 2023, v nadaljevanju: elaborat). V e</w:t>
      </w:r>
      <w:r w:rsidR="00EE4CDE" w:rsidRPr="004174D7">
        <w:rPr>
          <w:rFonts w:ascii="Arial" w:hAnsi="Arial" w:cs="Arial"/>
          <w:sz w:val="20"/>
          <w:szCs w:val="20"/>
        </w:rPr>
        <w:t>laboratu so predvideni ustrezni ukrepi na stanovanjskih stavbah s preseženo mejno vrednostjo kazalca hrupa za celotno obremenitev okolja s hrupom v nočnem času (L</w:t>
      </w:r>
      <w:r w:rsidR="00EE4CDE" w:rsidRPr="004174D7">
        <w:rPr>
          <w:rFonts w:ascii="Arial" w:hAnsi="Arial" w:cs="Arial"/>
          <w:sz w:val="20"/>
          <w:szCs w:val="20"/>
          <w:vertAlign w:val="subscript"/>
        </w:rPr>
        <w:t>noč</w:t>
      </w:r>
      <w:r w:rsidRPr="004174D7">
        <w:rPr>
          <w:rFonts w:ascii="Arial" w:hAnsi="Arial" w:cs="Arial"/>
          <w:sz w:val="20"/>
          <w:szCs w:val="20"/>
        </w:rPr>
        <w:t xml:space="preserve"> = 59 </w:t>
      </w:r>
      <w:r w:rsidR="00EE4CDE" w:rsidRPr="004174D7">
        <w:rPr>
          <w:rFonts w:ascii="Arial" w:hAnsi="Arial" w:cs="Arial"/>
          <w:sz w:val="20"/>
          <w:szCs w:val="20"/>
        </w:rPr>
        <w:t>dB). Elaborat je podlaga za izvedbo ukrepov po tem razpisu in sestavni del razpisne dokumentacije. V skladu z elaboratom je predvidena sanacija skupno 111 stavb z varovanimi prostori.</w:t>
      </w:r>
    </w:p>
    <w:p w:rsidR="0081318E" w:rsidRPr="00221ED5" w:rsidRDefault="0081318E" w:rsidP="00221ED5">
      <w:pPr>
        <w:pStyle w:val="Style4"/>
        <w:widowControl/>
        <w:spacing w:before="360" w:after="240" w:line="240" w:lineRule="auto"/>
        <w:jc w:val="both"/>
        <w:rPr>
          <w:rFonts w:ascii="Arial" w:hAnsi="Arial" w:cs="Arial"/>
          <w:b/>
          <w:bCs/>
          <w:sz w:val="20"/>
          <w:szCs w:val="20"/>
        </w:rPr>
      </w:pPr>
      <w:r w:rsidRPr="00221ED5">
        <w:rPr>
          <w:rStyle w:val="FontStyle20"/>
          <w:rFonts w:ascii="Arial" w:hAnsi="Arial" w:cs="Arial"/>
          <w:sz w:val="20"/>
          <w:szCs w:val="20"/>
        </w:rPr>
        <w:t>2.</w:t>
      </w:r>
      <w:r w:rsidR="00221ED5">
        <w:rPr>
          <w:rStyle w:val="FontStyle20"/>
          <w:rFonts w:ascii="Arial" w:hAnsi="Arial" w:cs="Arial"/>
          <w:sz w:val="20"/>
          <w:szCs w:val="20"/>
        </w:rPr>
        <w:t xml:space="preserve"> </w:t>
      </w:r>
      <w:r w:rsidRPr="00221ED5">
        <w:rPr>
          <w:rStyle w:val="FontStyle20"/>
          <w:rFonts w:ascii="Arial" w:hAnsi="Arial" w:cs="Arial"/>
          <w:sz w:val="20"/>
          <w:szCs w:val="20"/>
        </w:rPr>
        <w:t>PREDLOG REŠITVE</w:t>
      </w:r>
    </w:p>
    <w:p w:rsidR="0081318E" w:rsidRPr="00221ED5" w:rsidRDefault="0081318E" w:rsidP="00221ED5">
      <w:pPr>
        <w:pStyle w:val="Style1"/>
        <w:widowControl/>
        <w:spacing w:after="120" w:line="250" w:lineRule="exact"/>
        <w:rPr>
          <w:rFonts w:ascii="Arial" w:hAnsi="Arial" w:cs="Arial"/>
          <w:sz w:val="20"/>
          <w:szCs w:val="20"/>
        </w:rPr>
      </w:pPr>
      <w:r w:rsidRPr="004174D7">
        <w:rPr>
          <w:rFonts w:ascii="Arial" w:hAnsi="Arial" w:cs="Arial"/>
          <w:sz w:val="20"/>
          <w:szCs w:val="20"/>
        </w:rPr>
        <w:t xml:space="preserve">Za zaščito varovanih prostorov v stavbah </w:t>
      </w:r>
      <w:r w:rsidR="000C79AE" w:rsidRPr="004174D7">
        <w:rPr>
          <w:rFonts w:ascii="Arial" w:hAnsi="Arial" w:cs="Arial"/>
          <w:sz w:val="20"/>
          <w:szCs w:val="20"/>
        </w:rPr>
        <w:t xml:space="preserve">ob </w:t>
      </w:r>
      <w:r w:rsidR="002C37F8" w:rsidRPr="004174D7">
        <w:rPr>
          <w:rFonts w:ascii="Arial" w:hAnsi="Arial" w:cs="Arial"/>
          <w:sz w:val="20"/>
          <w:szCs w:val="20"/>
        </w:rPr>
        <w:t>glavni železniški progi št. 10 na območju občine Litija</w:t>
      </w:r>
      <w:r w:rsidRPr="004174D7">
        <w:rPr>
          <w:rFonts w:ascii="Arial" w:hAnsi="Arial" w:cs="Arial"/>
          <w:sz w:val="20"/>
          <w:szCs w:val="20"/>
        </w:rPr>
        <w:t xml:space="preserve">, pri katerih je bilo </w:t>
      </w:r>
      <w:r w:rsidR="008A0C2A" w:rsidRPr="004174D7">
        <w:rPr>
          <w:rFonts w:ascii="Arial" w:hAnsi="Arial" w:cs="Arial"/>
          <w:sz w:val="20"/>
          <w:szCs w:val="20"/>
        </w:rPr>
        <w:t>u</w:t>
      </w:r>
      <w:r w:rsidRPr="004174D7">
        <w:rPr>
          <w:rFonts w:ascii="Arial" w:hAnsi="Arial" w:cs="Arial"/>
          <w:sz w:val="20"/>
          <w:szCs w:val="20"/>
        </w:rPr>
        <w:t xml:space="preserve">gotovljeno preseganje </w:t>
      </w:r>
      <w:r w:rsidR="001A01F2" w:rsidRPr="004174D7">
        <w:rPr>
          <w:rFonts w:ascii="Arial" w:hAnsi="Arial" w:cs="Arial"/>
          <w:sz w:val="20"/>
          <w:szCs w:val="20"/>
        </w:rPr>
        <w:t>mejnih</w:t>
      </w:r>
      <w:r w:rsidRPr="004174D7">
        <w:rPr>
          <w:rFonts w:ascii="Arial" w:hAnsi="Arial" w:cs="Arial"/>
          <w:sz w:val="20"/>
          <w:szCs w:val="20"/>
        </w:rPr>
        <w:t xml:space="preserve"> vrednosti </w:t>
      </w:r>
      <w:r w:rsidR="001A01F2" w:rsidRPr="004174D7">
        <w:rPr>
          <w:rFonts w:ascii="Arial" w:hAnsi="Arial" w:cs="Arial"/>
          <w:sz w:val="20"/>
          <w:szCs w:val="20"/>
        </w:rPr>
        <w:t>ravni hrupa v varovan</w:t>
      </w:r>
      <w:r w:rsidR="008E7286" w:rsidRPr="004174D7">
        <w:rPr>
          <w:rFonts w:ascii="Arial" w:hAnsi="Arial" w:cs="Arial"/>
          <w:sz w:val="20"/>
          <w:szCs w:val="20"/>
        </w:rPr>
        <w:t>ih prostorih</w:t>
      </w:r>
      <w:r w:rsidR="001A01F2" w:rsidRPr="004174D7">
        <w:rPr>
          <w:rFonts w:ascii="Arial" w:hAnsi="Arial" w:cs="Arial"/>
          <w:sz w:val="20"/>
          <w:szCs w:val="20"/>
        </w:rPr>
        <w:t xml:space="preserve"> </w:t>
      </w:r>
      <w:r w:rsidR="00F34BA0" w:rsidRPr="004174D7">
        <w:rPr>
          <w:rFonts w:ascii="Arial" w:hAnsi="Arial" w:cs="Arial"/>
          <w:sz w:val="20"/>
          <w:szCs w:val="20"/>
        </w:rPr>
        <w:t>zaradi vpliva železniškega prome</w:t>
      </w:r>
      <w:r w:rsidR="006D4BDD" w:rsidRPr="004174D7">
        <w:rPr>
          <w:rFonts w:ascii="Arial" w:hAnsi="Arial" w:cs="Arial"/>
          <w:sz w:val="20"/>
          <w:szCs w:val="20"/>
        </w:rPr>
        <w:t>ta</w:t>
      </w:r>
      <w:r w:rsidRPr="004174D7">
        <w:rPr>
          <w:rFonts w:ascii="Arial" w:hAnsi="Arial" w:cs="Arial"/>
          <w:sz w:val="20"/>
          <w:szCs w:val="20"/>
        </w:rPr>
        <w:t xml:space="preserve">, </w:t>
      </w:r>
      <w:r w:rsidR="008A0C2A" w:rsidRPr="004174D7">
        <w:rPr>
          <w:rFonts w:ascii="Arial" w:hAnsi="Arial" w:cs="Arial"/>
          <w:sz w:val="20"/>
          <w:szCs w:val="20"/>
        </w:rPr>
        <w:t>je predlagana sanacija s pasivno protihrupno</w:t>
      </w:r>
      <w:r w:rsidR="001A01F2" w:rsidRPr="004174D7">
        <w:rPr>
          <w:rFonts w:ascii="Arial" w:hAnsi="Arial" w:cs="Arial"/>
          <w:sz w:val="20"/>
          <w:szCs w:val="20"/>
        </w:rPr>
        <w:t xml:space="preserve"> zaščito. </w:t>
      </w:r>
      <w:r w:rsidR="00D0782E" w:rsidRPr="004174D7">
        <w:rPr>
          <w:rFonts w:ascii="Arial" w:hAnsi="Arial" w:cs="Arial"/>
          <w:sz w:val="20"/>
          <w:szCs w:val="20"/>
        </w:rPr>
        <w:t xml:space="preserve">Za sanacijo </w:t>
      </w:r>
      <w:r w:rsidR="003A50C0" w:rsidRPr="004174D7">
        <w:rPr>
          <w:rFonts w:ascii="Arial" w:hAnsi="Arial" w:cs="Arial"/>
          <w:sz w:val="20"/>
          <w:szCs w:val="20"/>
        </w:rPr>
        <w:t xml:space="preserve">je </w:t>
      </w:r>
      <w:r w:rsidR="00D0782E" w:rsidRPr="004174D7">
        <w:rPr>
          <w:rFonts w:ascii="Arial" w:hAnsi="Arial" w:cs="Arial"/>
          <w:sz w:val="20"/>
          <w:szCs w:val="20"/>
        </w:rPr>
        <w:t xml:space="preserve">predvidenih </w:t>
      </w:r>
      <w:r w:rsidR="002C37F8" w:rsidRPr="004174D7">
        <w:rPr>
          <w:rFonts w:ascii="Arial" w:hAnsi="Arial" w:cs="Arial"/>
          <w:sz w:val="20"/>
          <w:szCs w:val="20"/>
        </w:rPr>
        <w:t>111</w:t>
      </w:r>
      <w:r w:rsidR="004C7472" w:rsidRPr="004174D7">
        <w:rPr>
          <w:rFonts w:ascii="Arial" w:hAnsi="Arial" w:cs="Arial"/>
          <w:sz w:val="20"/>
          <w:szCs w:val="20"/>
        </w:rPr>
        <w:t xml:space="preserve"> stanovanjskih </w:t>
      </w:r>
      <w:r w:rsidR="002C37F8" w:rsidRPr="004174D7">
        <w:rPr>
          <w:rFonts w:ascii="Arial" w:hAnsi="Arial" w:cs="Arial"/>
          <w:sz w:val="20"/>
          <w:szCs w:val="20"/>
        </w:rPr>
        <w:t>stavb</w:t>
      </w:r>
      <w:r w:rsidR="003A50C0" w:rsidRPr="004174D7">
        <w:rPr>
          <w:rFonts w:ascii="Arial" w:hAnsi="Arial" w:cs="Arial"/>
          <w:sz w:val="20"/>
          <w:szCs w:val="20"/>
        </w:rPr>
        <w:t>.</w:t>
      </w:r>
    </w:p>
    <w:p w:rsidR="0081318E" w:rsidRPr="00221ED5" w:rsidRDefault="0081318E" w:rsidP="00221ED5">
      <w:pPr>
        <w:pStyle w:val="Style4"/>
        <w:widowControl/>
        <w:spacing w:before="360" w:after="240" w:line="240" w:lineRule="auto"/>
        <w:jc w:val="both"/>
        <w:rPr>
          <w:rFonts w:ascii="Arial" w:hAnsi="Arial" w:cs="Arial"/>
          <w:b/>
          <w:bCs/>
          <w:sz w:val="20"/>
          <w:szCs w:val="20"/>
        </w:rPr>
      </w:pPr>
      <w:r w:rsidRPr="00221ED5">
        <w:rPr>
          <w:rStyle w:val="FontStyle20"/>
          <w:rFonts w:ascii="Arial" w:hAnsi="Arial" w:cs="Arial"/>
          <w:sz w:val="20"/>
          <w:szCs w:val="20"/>
        </w:rPr>
        <w:t>3.</w:t>
      </w:r>
      <w:r w:rsidR="00221ED5">
        <w:rPr>
          <w:rStyle w:val="FontStyle20"/>
          <w:rFonts w:ascii="Arial" w:hAnsi="Arial" w:cs="Arial"/>
          <w:sz w:val="20"/>
          <w:szCs w:val="20"/>
        </w:rPr>
        <w:t xml:space="preserve"> </w:t>
      </w:r>
      <w:r w:rsidRPr="00221ED5">
        <w:rPr>
          <w:rStyle w:val="FontStyle20"/>
          <w:rFonts w:ascii="Arial" w:hAnsi="Arial" w:cs="Arial"/>
          <w:sz w:val="20"/>
          <w:szCs w:val="20"/>
        </w:rPr>
        <w:t>PRE</w:t>
      </w:r>
      <w:r w:rsidR="00AB0D2C" w:rsidRPr="00221ED5">
        <w:rPr>
          <w:rStyle w:val="FontStyle20"/>
          <w:rFonts w:ascii="Arial" w:hAnsi="Arial" w:cs="Arial"/>
          <w:sz w:val="20"/>
          <w:szCs w:val="20"/>
        </w:rPr>
        <w:t>DMET JAVNEGA NAROČILA</w:t>
      </w:r>
    </w:p>
    <w:p w:rsidR="00F7151E" w:rsidRDefault="0081318E" w:rsidP="00221ED5">
      <w:pPr>
        <w:pStyle w:val="Style3"/>
        <w:widowControl/>
        <w:spacing w:after="120" w:line="250" w:lineRule="exact"/>
        <w:jc w:val="both"/>
        <w:rPr>
          <w:rStyle w:val="FontStyle17"/>
          <w:rFonts w:ascii="Arial" w:hAnsi="Arial" w:cs="Arial"/>
        </w:rPr>
      </w:pPr>
      <w:r w:rsidRPr="004174D7">
        <w:rPr>
          <w:rStyle w:val="FontStyle17"/>
          <w:rFonts w:ascii="Arial" w:hAnsi="Arial" w:cs="Arial"/>
        </w:rPr>
        <w:t>Predmet javnega naročila je iz</w:t>
      </w:r>
      <w:r w:rsidR="001D49C0" w:rsidRPr="004174D7">
        <w:rPr>
          <w:rStyle w:val="FontStyle17"/>
          <w:rFonts w:ascii="Arial" w:hAnsi="Arial" w:cs="Arial"/>
        </w:rPr>
        <w:t>vedba</w:t>
      </w:r>
      <w:r w:rsidRPr="004174D7">
        <w:rPr>
          <w:rStyle w:val="FontStyle17"/>
          <w:rFonts w:ascii="Arial" w:hAnsi="Arial" w:cs="Arial"/>
        </w:rPr>
        <w:t xml:space="preserve"> pasivne protihrupne zaščite</w:t>
      </w:r>
      <w:r w:rsidR="00D0782E" w:rsidRPr="004174D7">
        <w:rPr>
          <w:rStyle w:val="FontStyle17"/>
          <w:rFonts w:ascii="Arial" w:hAnsi="Arial" w:cs="Arial"/>
        </w:rPr>
        <w:t xml:space="preserve">, </w:t>
      </w:r>
      <w:r w:rsidR="002C37F8" w:rsidRPr="004174D7">
        <w:rPr>
          <w:rStyle w:val="FontStyle17"/>
          <w:rFonts w:ascii="Arial" w:hAnsi="Arial" w:cs="Arial"/>
        </w:rPr>
        <w:t>Elaborat pasivne protihrupne zaščite na območju občine Litija ob glavni železniški progi št. 10 (A-projekt d. o. o., št. Aprojekt 10/2022 in ZAG, št. 261/21-520-1, februar 2023)</w:t>
      </w:r>
      <w:r w:rsidR="00DF1705" w:rsidRPr="004174D7">
        <w:rPr>
          <w:rStyle w:val="FontStyle17"/>
          <w:rFonts w:ascii="Arial" w:hAnsi="Arial" w:cs="Arial"/>
        </w:rPr>
        <w:t xml:space="preserve">, </w:t>
      </w:r>
      <w:r w:rsidR="00D0782E" w:rsidRPr="004174D7">
        <w:rPr>
          <w:rStyle w:val="FontStyle17"/>
          <w:rFonts w:ascii="Arial" w:hAnsi="Arial" w:cs="Arial"/>
        </w:rPr>
        <w:t xml:space="preserve">ki </w:t>
      </w:r>
      <w:r w:rsidR="00DF1705" w:rsidRPr="004174D7">
        <w:rPr>
          <w:rStyle w:val="FontStyle17"/>
          <w:rFonts w:ascii="Arial" w:hAnsi="Arial" w:cs="Arial"/>
        </w:rPr>
        <w:t xml:space="preserve">je sestavni del razpisne dokumentacije. </w:t>
      </w:r>
    </w:p>
    <w:p w:rsidR="00F7151E" w:rsidRDefault="00F7151E" w:rsidP="00221ED5">
      <w:pPr>
        <w:pStyle w:val="Style3"/>
        <w:widowControl/>
        <w:spacing w:after="120" w:line="250" w:lineRule="exact"/>
        <w:jc w:val="both"/>
        <w:rPr>
          <w:rStyle w:val="FontStyle17"/>
          <w:rFonts w:ascii="Arial" w:hAnsi="Arial" w:cs="Arial"/>
        </w:rPr>
      </w:pPr>
      <w:r>
        <w:rPr>
          <w:rStyle w:val="FontStyle17"/>
          <w:rFonts w:ascii="Arial" w:hAnsi="Arial" w:cs="Arial"/>
        </w:rPr>
        <w:t>Dodatno se i</w:t>
      </w:r>
      <w:r w:rsidR="005E36A3">
        <w:rPr>
          <w:rStyle w:val="FontStyle17"/>
          <w:rFonts w:ascii="Arial" w:hAnsi="Arial" w:cs="Arial"/>
        </w:rPr>
        <w:t>zvede pasivna zaščita na stavbi</w:t>
      </w:r>
      <w:r w:rsidRPr="005E36A3">
        <w:rPr>
          <w:rStyle w:val="FontStyle17"/>
          <w:rFonts w:ascii="Arial" w:hAnsi="Arial" w:cs="Arial"/>
        </w:rPr>
        <w:t xml:space="preserve"> Kresnice</w:t>
      </w:r>
      <w:r w:rsidR="005E36A3">
        <w:rPr>
          <w:rStyle w:val="FontStyle17"/>
          <w:rFonts w:ascii="Arial" w:hAnsi="Arial" w:cs="Arial"/>
        </w:rPr>
        <w:t xml:space="preserve"> 18</w:t>
      </w:r>
      <w:r>
        <w:rPr>
          <w:rStyle w:val="FontStyle17"/>
          <w:rFonts w:ascii="Arial" w:hAnsi="Arial" w:cs="Arial"/>
        </w:rPr>
        <w:t>, ki v elaboratu ni bila obravnavana. Potrebni ukrepi za to stavbo se določijo v okviru projektantskega nadzora, izvedba ukrepov se obračuna v okviru nep</w:t>
      </w:r>
      <w:r w:rsidR="005E36A3">
        <w:rPr>
          <w:rStyle w:val="FontStyle17"/>
          <w:rFonts w:ascii="Arial" w:hAnsi="Arial" w:cs="Arial"/>
        </w:rPr>
        <w:t>redvidenih del.</w:t>
      </w:r>
    </w:p>
    <w:p w:rsidR="00186246" w:rsidRPr="004174D7" w:rsidRDefault="00DF1705" w:rsidP="00221ED5">
      <w:pPr>
        <w:pStyle w:val="Style3"/>
        <w:widowControl/>
        <w:spacing w:after="120" w:line="250" w:lineRule="exact"/>
        <w:jc w:val="both"/>
        <w:rPr>
          <w:rStyle w:val="FontStyle17"/>
          <w:rFonts w:ascii="Arial" w:hAnsi="Arial" w:cs="Arial"/>
        </w:rPr>
      </w:pPr>
      <w:r w:rsidRPr="004174D7">
        <w:rPr>
          <w:rStyle w:val="FontStyle17"/>
          <w:rFonts w:ascii="Arial" w:hAnsi="Arial" w:cs="Arial"/>
        </w:rPr>
        <w:t xml:space="preserve">Sanacija </w:t>
      </w:r>
      <w:r w:rsidR="00D0782E" w:rsidRPr="004174D7">
        <w:rPr>
          <w:rStyle w:val="FontStyle17"/>
          <w:rFonts w:ascii="Arial" w:hAnsi="Arial" w:cs="Arial"/>
        </w:rPr>
        <w:t>obsega</w:t>
      </w:r>
      <w:r w:rsidRPr="004174D7">
        <w:rPr>
          <w:rStyle w:val="FontStyle17"/>
          <w:rFonts w:ascii="Arial" w:hAnsi="Arial" w:cs="Arial"/>
        </w:rPr>
        <w:t xml:space="preserve"> </w:t>
      </w:r>
      <w:r w:rsidR="00D0782E" w:rsidRPr="004174D7">
        <w:rPr>
          <w:rStyle w:val="FontStyle17"/>
          <w:rFonts w:ascii="Arial" w:hAnsi="Arial" w:cs="Arial"/>
        </w:rPr>
        <w:t xml:space="preserve">zamenjavo </w:t>
      </w:r>
      <w:r w:rsidR="003B3A98" w:rsidRPr="004174D7">
        <w:rPr>
          <w:rStyle w:val="FontStyle17"/>
          <w:rFonts w:ascii="Arial" w:hAnsi="Arial" w:cs="Arial"/>
        </w:rPr>
        <w:t xml:space="preserve">stavbnega pohištva </w:t>
      </w:r>
      <w:r w:rsidR="0081318E" w:rsidRPr="004174D7">
        <w:rPr>
          <w:rStyle w:val="FontStyle17"/>
          <w:rFonts w:ascii="Arial" w:hAnsi="Arial" w:cs="Arial"/>
        </w:rPr>
        <w:t>za</w:t>
      </w:r>
      <w:r w:rsidR="001D49C0" w:rsidRPr="004174D7">
        <w:rPr>
          <w:rStyle w:val="FontStyle17"/>
          <w:rFonts w:ascii="Arial" w:hAnsi="Arial" w:cs="Arial"/>
        </w:rPr>
        <w:t xml:space="preserve"> </w:t>
      </w:r>
      <w:r w:rsidR="00D0782E" w:rsidRPr="004174D7">
        <w:rPr>
          <w:rStyle w:val="FontStyle17"/>
          <w:rFonts w:ascii="Arial" w:hAnsi="Arial" w:cs="Arial"/>
        </w:rPr>
        <w:t xml:space="preserve">varovane prostore stanovanjskih </w:t>
      </w:r>
      <w:r w:rsidR="001B1F71" w:rsidRPr="004174D7">
        <w:rPr>
          <w:rStyle w:val="FontStyle17"/>
          <w:rFonts w:ascii="Arial" w:hAnsi="Arial" w:cs="Arial"/>
        </w:rPr>
        <w:t xml:space="preserve">stavb, </w:t>
      </w:r>
      <w:r w:rsidR="002C37F8" w:rsidRPr="004174D7">
        <w:rPr>
          <w:rStyle w:val="FontStyle17"/>
          <w:rFonts w:ascii="Arial" w:hAnsi="Arial" w:cs="Arial"/>
        </w:rPr>
        <w:t>ob glavni železniški progi št. 10 na območju občine Litija</w:t>
      </w:r>
      <w:r w:rsidR="003B3A98" w:rsidRPr="004174D7">
        <w:rPr>
          <w:rStyle w:val="FontStyle17"/>
          <w:rFonts w:ascii="Arial" w:hAnsi="Arial" w:cs="Arial"/>
        </w:rPr>
        <w:t xml:space="preserve">, </w:t>
      </w:r>
      <w:r w:rsidR="005342A2" w:rsidRPr="004174D7">
        <w:rPr>
          <w:rStyle w:val="FontStyle17"/>
          <w:rFonts w:ascii="Arial" w:hAnsi="Arial" w:cs="Arial"/>
        </w:rPr>
        <w:t xml:space="preserve">pri katerih </w:t>
      </w:r>
      <w:r w:rsidR="006D4BDD" w:rsidRPr="004174D7">
        <w:rPr>
          <w:rStyle w:val="FontStyle17"/>
          <w:rFonts w:ascii="Arial" w:hAnsi="Arial" w:cs="Arial"/>
        </w:rPr>
        <w:t xml:space="preserve">je </w:t>
      </w:r>
      <w:r w:rsidR="005342A2" w:rsidRPr="004174D7">
        <w:rPr>
          <w:rStyle w:val="FontStyle17"/>
          <w:rFonts w:ascii="Arial" w:hAnsi="Arial" w:cs="Arial"/>
        </w:rPr>
        <w:t xml:space="preserve">na </w:t>
      </w:r>
      <w:r w:rsidR="0081318E" w:rsidRPr="004174D7">
        <w:rPr>
          <w:rStyle w:val="FontStyle17"/>
          <w:rFonts w:ascii="Arial" w:hAnsi="Arial" w:cs="Arial"/>
        </w:rPr>
        <w:t xml:space="preserve">najbolj obremenjeni fasadi </w:t>
      </w:r>
      <w:r w:rsidR="001D49C0" w:rsidRPr="004174D7">
        <w:rPr>
          <w:rStyle w:val="FontStyle17"/>
          <w:rFonts w:ascii="Arial" w:hAnsi="Arial" w:cs="Arial"/>
        </w:rPr>
        <w:t>zaradi vplivov železniškega prometa</w:t>
      </w:r>
      <w:r w:rsidR="0081318E" w:rsidRPr="004174D7">
        <w:rPr>
          <w:rStyle w:val="FontStyle17"/>
          <w:rFonts w:ascii="Arial" w:hAnsi="Arial" w:cs="Arial"/>
        </w:rPr>
        <w:t xml:space="preserve"> presežena </w:t>
      </w:r>
      <w:r w:rsidR="002C37F8" w:rsidRPr="004174D7">
        <w:rPr>
          <w:rStyle w:val="FontStyle17"/>
          <w:rFonts w:ascii="Arial" w:hAnsi="Arial" w:cs="Arial"/>
        </w:rPr>
        <w:t>mejna vrednost kazalca hrupa za celotno obremenitev okolja s hrupom v nočnem času (L</w:t>
      </w:r>
      <w:r w:rsidR="002C37F8" w:rsidRPr="005E36A3">
        <w:rPr>
          <w:rStyle w:val="FontStyle17"/>
          <w:rFonts w:ascii="Arial" w:hAnsi="Arial" w:cs="Arial"/>
          <w:vertAlign w:val="subscript"/>
        </w:rPr>
        <w:t>noč</w:t>
      </w:r>
      <w:r w:rsidR="002C37F8" w:rsidRPr="004174D7">
        <w:rPr>
          <w:rStyle w:val="FontStyle17"/>
          <w:rFonts w:ascii="Arial" w:hAnsi="Arial" w:cs="Arial"/>
        </w:rPr>
        <w:t xml:space="preserve"> = 59 dB)</w:t>
      </w:r>
      <w:r w:rsidR="005342A2" w:rsidRPr="004174D7">
        <w:rPr>
          <w:rStyle w:val="FontStyle17"/>
          <w:rFonts w:ascii="Arial" w:hAnsi="Arial" w:cs="Arial"/>
        </w:rPr>
        <w:t>.</w:t>
      </w:r>
    </w:p>
    <w:p w:rsidR="004F3946" w:rsidRPr="004F3946" w:rsidRDefault="00186246" w:rsidP="00221ED5">
      <w:pPr>
        <w:pStyle w:val="Style3"/>
        <w:widowControl/>
        <w:spacing w:after="120" w:line="250" w:lineRule="exact"/>
        <w:jc w:val="both"/>
        <w:rPr>
          <w:rStyle w:val="FontStyle17"/>
          <w:rFonts w:ascii="Arial" w:hAnsi="Arial" w:cs="Arial"/>
        </w:rPr>
      </w:pPr>
      <w:r w:rsidRPr="004174D7">
        <w:rPr>
          <w:rStyle w:val="FontStyle17"/>
          <w:rFonts w:ascii="Arial" w:hAnsi="Arial" w:cs="Arial"/>
        </w:rPr>
        <w:t>Dimenzije ter tehnične karakteristike stavbnega pohištva</w:t>
      </w:r>
      <w:r w:rsidR="007E7F02" w:rsidRPr="004174D7">
        <w:rPr>
          <w:rStyle w:val="FontStyle17"/>
          <w:rFonts w:ascii="Arial" w:hAnsi="Arial" w:cs="Arial"/>
        </w:rPr>
        <w:t xml:space="preserve"> so določene na osnovi tehnične</w:t>
      </w:r>
      <w:r w:rsidRPr="004174D7">
        <w:rPr>
          <w:rStyle w:val="FontStyle17"/>
          <w:rFonts w:ascii="Arial" w:hAnsi="Arial" w:cs="Arial"/>
        </w:rPr>
        <w:t xml:space="preserve"> smernic</w:t>
      </w:r>
      <w:r w:rsidR="007E7F02" w:rsidRPr="004174D7">
        <w:rPr>
          <w:rStyle w:val="FontStyle17"/>
          <w:rFonts w:ascii="Arial" w:hAnsi="Arial" w:cs="Arial"/>
        </w:rPr>
        <w:t xml:space="preserve">e za graditev: </w:t>
      </w:r>
      <w:r w:rsidRPr="004174D7">
        <w:rPr>
          <w:rStyle w:val="FontStyle17"/>
          <w:rFonts w:ascii="Arial" w:hAnsi="Arial" w:cs="Arial"/>
        </w:rPr>
        <w:t>Zaščita pred hrupom v stavbah, št. TSG-1-005:2012</w:t>
      </w:r>
      <w:r w:rsidR="007E7F02" w:rsidRPr="004174D7">
        <w:rPr>
          <w:rStyle w:val="FontStyle17"/>
          <w:rFonts w:ascii="Arial" w:hAnsi="Arial" w:cs="Arial"/>
        </w:rPr>
        <w:t xml:space="preserve">. </w:t>
      </w:r>
      <w:r w:rsidR="00DC27EE" w:rsidRPr="004174D7">
        <w:rPr>
          <w:rFonts w:ascii="Arial" w:hAnsi="Arial" w:cs="Arial"/>
          <w:sz w:val="20"/>
          <w:szCs w:val="20"/>
        </w:rPr>
        <w:t>Stavbno pohištvo na fasadnih konstrukcijah mora zraven ustrezne protihrupne zaščite imeti tudi ostale ustrezne</w:t>
      </w:r>
      <w:r w:rsidR="007E7F02" w:rsidRPr="004174D7">
        <w:rPr>
          <w:rFonts w:ascii="Arial" w:hAnsi="Arial" w:cs="Arial"/>
          <w:sz w:val="20"/>
          <w:szCs w:val="20"/>
        </w:rPr>
        <w:t xml:space="preserve"> </w:t>
      </w:r>
      <w:r w:rsidR="00DC27EE" w:rsidRPr="004174D7">
        <w:rPr>
          <w:rFonts w:ascii="Arial" w:hAnsi="Arial" w:cs="Arial"/>
          <w:sz w:val="20"/>
          <w:szCs w:val="20"/>
        </w:rPr>
        <w:t xml:space="preserve">lastnosti, kot </w:t>
      </w:r>
      <w:r w:rsidR="007E7F02" w:rsidRPr="004174D7">
        <w:rPr>
          <w:rFonts w:ascii="Arial" w:hAnsi="Arial" w:cs="Arial"/>
          <w:sz w:val="20"/>
          <w:szCs w:val="20"/>
        </w:rPr>
        <w:t xml:space="preserve">so </w:t>
      </w:r>
      <w:r w:rsidR="00DC27EE" w:rsidRPr="004174D7">
        <w:rPr>
          <w:rFonts w:ascii="Arial" w:hAnsi="Arial" w:cs="Arial"/>
          <w:sz w:val="20"/>
          <w:szCs w:val="20"/>
        </w:rPr>
        <w:t>npr.</w:t>
      </w:r>
      <w:r w:rsidR="007E7F02" w:rsidRPr="004174D7">
        <w:rPr>
          <w:rFonts w:ascii="Arial" w:hAnsi="Arial" w:cs="Arial"/>
          <w:sz w:val="20"/>
          <w:szCs w:val="20"/>
        </w:rPr>
        <w:t xml:space="preserve"> tesnjenje, toplotna</w:t>
      </w:r>
      <w:r w:rsidR="00DC27EE" w:rsidRPr="004174D7">
        <w:rPr>
          <w:rFonts w:ascii="Arial" w:hAnsi="Arial" w:cs="Arial"/>
          <w:sz w:val="20"/>
          <w:szCs w:val="20"/>
        </w:rPr>
        <w:t xml:space="preserve"> prevodnost, nepropustnost za </w:t>
      </w:r>
      <w:r w:rsidR="00DC27EE" w:rsidRPr="004174D7">
        <w:rPr>
          <w:rStyle w:val="FontStyle17"/>
          <w:rFonts w:ascii="Arial" w:hAnsi="Arial" w:cs="Arial"/>
        </w:rPr>
        <w:t>vodo, ipd…</w:t>
      </w:r>
    </w:p>
    <w:p w:rsidR="004F3946" w:rsidRPr="004F3946" w:rsidRDefault="004F3946" w:rsidP="00221ED5">
      <w:pPr>
        <w:widowControl/>
        <w:tabs>
          <w:tab w:val="left" w:pos="1134"/>
        </w:tabs>
        <w:autoSpaceDE/>
        <w:autoSpaceDN/>
        <w:adjustRightInd/>
        <w:spacing w:after="60"/>
        <w:jc w:val="both"/>
        <w:rPr>
          <w:rStyle w:val="FontStyle17"/>
          <w:rFonts w:ascii="Arial" w:hAnsi="Arial" w:cs="Arial"/>
        </w:rPr>
      </w:pPr>
      <w:r w:rsidRPr="004F3946">
        <w:rPr>
          <w:rStyle w:val="FontStyle17"/>
          <w:rFonts w:ascii="Arial" w:hAnsi="Arial" w:cs="Arial"/>
        </w:rPr>
        <w:t xml:space="preserve">Predvidena dela vključujejo naslednje faze: </w:t>
      </w:r>
    </w:p>
    <w:p w:rsidR="004F3946" w:rsidRPr="00221ED5" w:rsidRDefault="004F3946" w:rsidP="00221ED5">
      <w:pPr>
        <w:pStyle w:val="Odstavekseznama"/>
        <w:widowControl/>
        <w:numPr>
          <w:ilvl w:val="0"/>
          <w:numId w:val="18"/>
        </w:numPr>
        <w:tabs>
          <w:tab w:val="left" w:pos="567"/>
        </w:tabs>
        <w:autoSpaceDE/>
        <w:autoSpaceDN/>
        <w:adjustRightInd/>
        <w:spacing w:after="60"/>
        <w:ind w:left="567" w:hanging="311"/>
        <w:contextualSpacing w:val="0"/>
        <w:jc w:val="both"/>
        <w:rPr>
          <w:rStyle w:val="FontStyle17"/>
          <w:rFonts w:ascii="Arial" w:hAnsi="Arial" w:cs="Arial"/>
        </w:rPr>
      </w:pPr>
      <w:r w:rsidRPr="00221ED5">
        <w:rPr>
          <w:rStyle w:val="FontStyle17"/>
          <w:rFonts w:ascii="Arial" w:hAnsi="Arial" w:cs="Arial"/>
        </w:rPr>
        <w:t xml:space="preserve">Predhodna izmera oken in vrat na objektu. </w:t>
      </w:r>
    </w:p>
    <w:p w:rsidR="004F3946" w:rsidRPr="00221ED5" w:rsidRDefault="004F3946" w:rsidP="00221ED5">
      <w:pPr>
        <w:pStyle w:val="Odstavekseznama"/>
        <w:widowControl/>
        <w:numPr>
          <w:ilvl w:val="0"/>
          <w:numId w:val="18"/>
        </w:numPr>
        <w:tabs>
          <w:tab w:val="left" w:pos="567"/>
        </w:tabs>
        <w:autoSpaceDE/>
        <w:autoSpaceDN/>
        <w:adjustRightInd/>
        <w:spacing w:after="60"/>
        <w:ind w:left="567" w:hanging="311"/>
        <w:contextualSpacing w:val="0"/>
        <w:jc w:val="both"/>
        <w:rPr>
          <w:rStyle w:val="FontStyle17"/>
          <w:rFonts w:ascii="Arial" w:hAnsi="Arial" w:cs="Arial"/>
        </w:rPr>
      </w:pPr>
      <w:r w:rsidRPr="00221ED5">
        <w:rPr>
          <w:rStyle w:val="FontStyle17"/>
          <w:rFonts w:ascii="Arial" w:hAnsi="Arial" w:cs="Arial"/>
        </w:rPr>
        <w:t>Izdelava zunanjega stavbnega pohištva po meri. Izdelava vključuje izdelavo vseh elementov stavbnega pohištva (okna, vrata, senčila, komarniki, notranje police …).</w:t>
      </w:r>
    </w:p>
    <w:p w:rsidR="004F3946" w:rsidRPr="00221ED5" w:rsidRDefault="004F3946" w:rsidP="00221ED5">
      <w:pPr>
        <w:pStyle w:val="Odstavekseznama"/>
        <w:widowControl/>
        <w:numPr>
          <w:ilvl w:val="0"/>
          <w:numId w:val="18"/>
        </w:numPr>
        <w:tabs>
          <w:tab w:val="left" w:pos="567"/>
        </w:tabs>
        <w:autoSpaceDE/>
        <w:autoSpaceDN/>
        <w:adjustRightInd/>
        <w:spacing w:after="60"/>
        <w:ind w:left="567" w:hanging="311"/>
        <w:contextualSpacing w:val="0"/>
        <w:jc w:val="both"/>
        <w:rPr>
          <w:rStyle w:val="FontStyle17"/>
          <w:rFonts w:ascii="Arial" w:hAnsi="Arial" w:cs="Arial"/>
        </w:rPr>
      </w:pPr>
      <w:r w:rsidRPr="00221ED5">
        <w:rPr>
          <w:rStyle w:val="FontStyle17"/>
          <w:rFonts w:ascii="Arial" w:hAnsi="Arial" w:cs="Arial"/>
        </w:rPr>
        <w:lastRenderedPageBreak/>
        <w:t>Demontaža obstoječega stavbnega pohištva z vsemi pripadajočimi elementi (senčila, komarniki …) ter demontaža notranjih polic. Demontaža vključuje tudi odvoz in deponiranje v skladu s prepisi o ravnanju z gradbenimi odpadki.</w:t>
      </w:r>
    </w:p>
    <w:p w:rsidR="004F3946" w:rsidRPr="00221ED5" w:rsidRDefault="004F3946" w:rsidP="00221ED5">
      <w:pPr>
        <w:pStyle w:val="Odstavekseznama"/>
        <w:widowControl/>
        <w:numPr>
          <w:ilvl w:val="0"/>
          <w:numId w:val="18"/>
        </w:numPr>
        <w:tabs>
          <w:tab w:val="left" w:pos="567"/>
        </w:tabs>
        <w:autoSpaceDE/>
        <w:autoSpaceDN/>
        <w:adjustRightInd/>
        <w:spacing w:after="120"/>
        <w:ind w:left="567" w:hanging="312"/>
        <w:contextualSpacing w:val="0"/>
        <w:jc w:val="both"/>
        <w:rPr>
          <w:rStyle w:val="FontStyle17"/>
          <w:rFonts w:ascii="Arial" w:hAnsi="Arial" w:cs="Arial"/>
        </w:rPr>
      </w:pPr>
      <w:r w:rsidRPr="00221ED5">
        <w:rPr>
          <w:rStyle w:val="FontStyle17"/>
          <w:rFonts w:ascii="Arial" w:hAnsi="Arial" w:cs="Arial"/>
        </w:rPr>
        <w:t>Vgradnja stavbnega pohištva, vključno z vsemi dodatnimi obrtniškimi deli, uporabljenimi materiali ter vzpostavitev prvotnega stanja (zidarska dela in slikopleskarska dela).</w:t>
      </w:r>
    </w:p>
    <w:p w:rsidR="00DF1705" w:rsidRPr="004174D7" w:rsidRDefault="004F3946" w:rsidP="00221ED5">
      <w:pPr>
        <w:widowControl/>
        <w:tabs>
          <w:tab w:val="left" w:pos="1134"/>
        </w:tabs>
        <w:autoSpaceDE/>
        <w:autoSpaceDN/>
        <w:adjustRightInd/>
        <w:spacing w:after="120"/>
        <w:jc w:val="both"/>
        <w:rPr>
          <w:rStyle w:val="FontStyle17"/>
          <w:rFonts w:ascii="Arial" w:hAnsi="Arial" w:cs="Arial"/>
        </w:rPr>
      </w:pPr>
      <w:r w:rsidRPr="004F3946">
        <w:rPr>
          <w:rStyle w:val="FontStyle17"/>
          <w:rFonts w:ascii="Arial" w:hAnsi="Arial" w:cs="Arial"/>
        </w:rPr>
        <w:t>Vrsta del za posamezen objekt je odvisna od obstoječega stanja oken in vrat ter od obremenitve s hrupom. Po zaključku del se izvede kontrolo kvalitete izvedenih sanacijskih del z meritvami zvočne izolativnosti. Obseg del, material in ostale tehnične specifikacije so razvidne iz popisa del.</w:t>
      </w:r>
    </w:p>
    <w:p w:rsidR="00221ED5" w:rsidRPr="004174D7" w:rsidRDefault="00DF1705" w:rsidP="00221ED5">
      <w:pPr>
        <w:widowControl/>
        <w:tabs>
          <w:tab w:val="left" w:pos="1134"/>
        </w:tabs>
        <w:autoSpaceDE/>
        <w:autoSpaceDN/>
        <w:adjustRightInd/>
        <w:spacing w:after="120"/>
        <w:jc w:val="both"/>
        <w:rPr>
          <w:rFonts w:ascii="Arial" w:hAnsi="Arial" w:cs="Arial"/>
          <w:sz w:val="20"/>
          <w:szCs w:val="20"/>
        </w:rPr>
      </w:pPr>
      <w:r w:rsidRPr="004174D7">
        <w:rPr>
          <w:rStyle w:val="FontStyle17"/>
          <w:rFonts w:ascii="Arial" w:hAnsi="Arial" w:cs="Arial"/>
        </w:rPr>
        <w:t>Poleg zahtev, ki so opredeljene v Elaboratu</w:t>
      </w:r>
      <w:r w:rsidR="002C37F8" w:rsidRPr="004174D7">
        <w:rPr>
          <w:rStyle w:val="FontStyle17"/>
          <w:rFonts w:ascii="Arial" w:hAnsi="Arial" w:cs="Arial"/>
        </w:rPr>
        <w:t xml:space="preserve"> (A-projekt d. o. o., št. Aprojekt 10/2022 in ZAG, št. 261/21-520-1, februar 2023) </w:t>
      </w:r>
      <w:r w:rsidR="00C616C6">
        <w:rPr>
          <w:rStyle w:val="FontStyle17"/>
          <w:rFonts w:ascii="Arial" w:hAnsi="Arial" w:cs="Arial"/>
        </w:rPr>
        <w:t xml:space="preserve">in v Navodilih za pripravo ponudbe </w:t>
      </w:r>
      <w:r w:rsidRPr="004174D7">
        <w:rPr>
          <w:rStyle w:val="FontStyle17"/>
          <w:rFonts w:ascii="Arial" w:hAnsi="Arial" w:cs="Arial"/>
        </w:rPr>
        <w:t xml:space="preserve">je </w:t>
      </w:r>
      <w:r w:rsidR="002C37F8" w:rsidRPr="004174D7">
        <w:rPr>
          <w:rStyle w:val="FontStyle17"/>
          <w:rFonts w:ascii="Arial" w:hAnsi="Arial" w:cs="Arial"/>
        </w:rPr>
        <w:t>treba</w:t>
      </w:r>
      <w:r w:rsidRPr="004174D7">
        <w:rPr>
          <w:rStyle w:val="FontStyle17"/>
          <w:rFonts w:ascii="Arial" w:hAnsi="Arial" w:cs="Arial"/>
        </w:rPr>
        <w:t xml:space="preserve"> upoštevati tudi </w:t>
      </w:r>
      <w:r w:rsidR="002C37F8" w:rsidRPr="004174D7">
        <w:rPr>
          <w:rStyle w:val="FontStyle17"/>
          <w:rFonts w:ascii="Arial" w:hAnsi="Arial" w:cs="Arial"/>
        </w:rPr>
        <w:t>naslednje</w:t>
      </w:r>
      <w:r w:rsidRPr="004174D7">
        <w:rPr>
          <w:rStyle w:val="FontStyle17"/>
          <w:rFonts w:ascii="Arial" w:hAnsi="Arial" w:cs="Arial"/>
        </w:rPr>
        <w:t xml:space="preserve"> zahteve:</w:t>
      </w:r>
    </w:p>
    <w:p w:rsidR="00DF1705" w:rsidRPr="00221ED5" w:rsidRDefault="00DF1705" w:rsidP="00221ED5">
      <w:pPr>
        <w:widowControl/>
        <w:tabs>
          <w:tab w:val="left" w:pos="1134"/>
        </w:tabs>
        <w:autoSpaceDE/>
        <w:autoSpaceDN/>
        <w:adjustRightInd/>
        <w:spacing w:after="120"/>
        <w:jc w:val="both"/>
        <w:rPr>
          <w:rFonts w:ascii="Arial" w:hAnsi="Arial" w:cs="Arial"/>
          <w:sz w:val="20"/>
          <w:szCs w:val="20"/>
          <w:u w:val="single"/>
        </w:rPr>
      </w:pPr>
      <w:r w:rsidRPr="004174D7">
        <w:rPr>
          <w:rFonts w:ascii="Arial" w:hAnsi="Arial" w:cs="Arial"/>
          <w:sz w:val="20"/>
          <w:szCs w:val="20"/>
          <w:u w:val="single"/>
        </w:rPr>
        <w:t>1. Kvaliteta vgrajenih oken: izpolnjevanje zahtev SIST EN 14351-1:2006:</w:t>
      </w:r>
    </w:p>
    <w:p w:rsidR="00C616C6" w:rsidRPr="004174D7" w:rsidRDefault="00DF1705" w:rsidP="00221ED5">
      <w:pPr>
        <w:widowControl/>
        <w:autoSpaceDE/>
        <w:autoSpaceDN/>
        <w:adjustRightInd/>
        <w:spacing w:after="120"/>
        <w:jc w:val="both"/>
        <w:rPr>
          <w:rFonts w:ascii="Arial" w:hAnsi="Arial" w:cs="Arial"/>
          <w:color w:val="000000"/>
          <w:sz w:val="20"/>
          <w:szCs w:val="20"/>
        </w:rPr>
      </w:pPr>
      <w:r w:rsidRPr="004174D7">
        <w:rPr>
          <w:rFonts w:ascii="Arial" w:hAnsi="Arial" w:cs="Arial"/>
          <w:color w:val="000000"/>
          <w:sz w:val="20"/>
          <w:szCs w:val="20"/>
        </w:rPr>
        <w:t>Dobavljena okna in stekla morajo biti opremljena s CE oznako, ki zagotavlja, da so bila izdelana in kontrolirana v skladu z relevantnimi evropskimi predpisi s področja varnosti, zdravja in varovanja okolja.</w:t>
      </w:r>
    </w:p>
    <w:p w:rsidR="00221ED5" w:rsidRPr="005564FC" w:rsidRDefault="000E2899" w:rsidP="005564FC">
      <w:pPr>
        <w:pStyle w:val="Telobesedila2"/>
        <w:pBdr>
          <w:top w:val="single" w:sz="4" w:space="1" w:color="auto"/>
          <w:left w:val="single" w:sz="4" w:space="0" w:color="auto"/>
          <w:bottom w:val="single" w:sz="4" w:space="1" w:color="auto"/>
          <w:right w:val="single" w:sz="4" w:space="4" w:color="auto"/>
        </w:pBdr>
        <w:tabs>
          <w:tab w:val="left" w:pos="1276"/>
        </w:tabs>
        <w:spacing w:after="120"/>
        <w:rPr>
          <w:rFonts w:cs="Arial"/>
          <w:b w:val="0"/>
          <w:sz w:val="20"/>
        </w:rPr>
      </w:pPr>
      <w:r w:rsidRPr="004174D7">
        <w:rPr>
          <w:rFonts w:cs="Arial"/>
          <w:b w:val="0"/>
          <w:sz w:val="20"/>
        </w:rPr>
        <w:t>Način dokazovanja: Ponudnik mora k ponudbi predložiti ES izjavo proizvajalca oken in vrat o skladnosti kvalitete vgrajenih oken s standardom SIST EN 14351-1:2006.</w:t>
      </w:r>
    </w:p>
    <w:p w:rsidR="00DF1705" w:rsidRPr="004174D7" w:rsidRDefault="00DF1705" w:rsidP="00221ED5">
      <w:pPr>
        <w:widowControl/>
        <w:tabs>
          <w:tab w:val="left" w:pos="1134"/>
        </w:tabs>
        <w:autoSpaceDE/>
        <w:autoSpaceDN/>
        <w:adjustRightInd/>
        <w:spacing w:after="120"/>
        <w:ind w:left="10"/>
        <w:jc w:val="both"/>
        <w:rPr>
          <w:rFonts w:ascii="Arial" w:hAnsi="Arial" w:cs="Arial"/>
          <w:sz w:val="20"/>
          <w:szCs w:val="20"/>
          <w:u w:val="single"/>
        </w:rPr>
      </w:pPr>
      <w:r w:rsidRPr="004174D7">
        <w:rPr>
          <w:rFonts w:ascii="Arial" w:hAnsi="Arial" w:cs="Arial"/>
          <w:sz w:val="20"/>
          <w:szCs w:val="20"/>
          <w:u w:val="single"/>
        </w:rPr>
        <w:t>2. Kvaliteta vgrajenih stekel:</w:t>
      </w:r>
    </w:p>
    <w:p w:rsidR="00DF1705" w:rsidRPr="004174D7" w:rsidRDefault="00DF1705" w:rsidP="00221ED5">
      <w:pPr>
        <w:widowControl/>
        <w:numPr>
          <w:ilvl w:val="0"/>
          <w:numId w:val="9"/>
        </w:numPr>
        <w:shd w:val="clear" w:color="auto" w:fill="FFFFFF"/>
        <w:tabs>
          <w:tab w:val="clear" w:pos="720"/>
          <w:tab w:val="num" w:pos="153"/>
          <w:tab w:val="num" w:pos="567"/>
          <w:tab w:val="left" w:pos="4541"/>
          <w:tab w:val="left" w:pos="5496"/>
          <w:tab w:val="left" w:pos="6643"/>
          <w:tab w:val="left" w:pos="7766"/>
          <w:tab w:val="left" w:pos="8597"/>
        </w:tabs>
        <w:autoSpaceDE/>
        <w:autoSpaceDN/>
        <w:adjustRightInd/>
        <w:spacing w:after="60" w:line="274" w:lineRule="exact"/>
        <w:ind w:left="153" w:firstLine="131"/>
        <w:jc w:val="both"/>
        <w:rPr>
          <w:rFonts w:ascii="Arial" w:hAnsi="Arial" w:cs="Arial"/>
          <w:sz w:val="20"/>
          <w:szCs w:val="20"/>
        </w:rPr>
      </w:pPr>
      <w:r w:rsidRPr="004174D7">
        <w:rPr>
          <w:rFonts w:ascii="Arial" w:hAnsi="Arial" w:cs="Arial"/>
          <w:sz w:val="20"/>
          <w:szCs w:val="20"/>
        </w:rPr>
        <w:t>Doseganje zahtevane zvočne izolirnosti vgrajenih stekel po standardu SIST EN 1279</w:t>
      </w:r>
      <w:r w:rsidR="00221ED5">
        <w:rPr>
          <w:rFonts w:ascii="Arial" w:hAnsi="Arial" w:cs="Arial"/>
          <w:sz w:val="20"/>
          <w:szCs w:val="20"/>
        </w:rPr>
        <w:t>.</w:t>
      </w:r>
    </w:p>
    <w:p w:rsidR="0089557E" w:rsidRPr="00221ED5" w:rsidRDefault="00DF1705" w:rsidP="00221ED5">
      <w:pPr>
        <w:widowControl/>
        <w:numPr>
          <w:ilvl w:val="0"/>
          <w:numId w:val="9"/>
        </w:numPr>
        <w:shd w:val="clear" w:color="auto" w:fill="FFFFFF"/>
        <w:tabs>
          <w:tab w:val="clear" w:pos="720"/>
          <w:tab w:val="num" w:pos="-263"/>
          <w:tab w:val="num" w:pos="567"/>
          <w:tab w:val="left" w:pos="4541"/>
          <w:tab w:val="left" w:pos="5496"/>
          <w:tab w:val="left" w:pos="6643"/>
          <w:tab w:val="left" w:pos="7766"/>
          <w:tab w:val="left" w:pos="8597"/>
        </w:tabs>
        <w:autoSpaceDE/>
        <w:autoSpaceDN/>
        <w:adjustRightInd/>
        <w:spacing w:after="120" w:line="274" w:lineRule="exact"/>
        <w:ind w:left="568" w:hanging="284"/>
        <w:jc w:val="both"/>
        <w:rPr>
          <w:rFonts w:ascii="Arial" w:hAnsi="Arial" w:cs="Arial"/>
          <w:sz w:val="20"/>
          <w:szCs w:val="20"/>
        </w:rPr>
      </w:pPr>
      <w:r w:rsidRPr="004174D7">
        <w:rPr>
          <w:rFonts w:ascii="Arial" w:hAnsi="Arial" w:cs="Arial"/>
          <w:sz w:val="20"/>
          <w:szCs w:val="20"/>
        </w:rPr>
        <w:t>Zvočna izolirnost vgrajenih stekel mora biti preverjena v laboratoriju</w:t>
      </w:r>
      <w:r w:rsidR="000E2899" w:rsidRPr="004174D7">
        <w:rPr>
          <w:rFonts w:ascii="Arial" w:hAnsi="Arial" w:cs="Arial"/>
          <w:sz w:val="20"/>
          <w:szCs w:val="20"/>
        </w:rPr>
        <w:t xml:space="preserve"> po standardu SIST EN ISO 12758</w:t>
      </w:r>
      <w:r w:rsidR="00221ED5">
        <w:rPr>
          <w:rFonts w:ascii="Arial" w:hAnsi="Arial" w:cs="Arial"/>
          <w:sz w:val="20"/>
          <w:szCs w:val="20"/>
        </w:rPr>
        <w:t>.</w:t>
      </w:r>
    </w:p>
    <w:p w:rsidR="000E2899" w:rsidRPr="00221ED5" w:rsidRDefault="000E2899" w:rsidP="00221ED5">
      <w:pPr>
        <w:pStyle w:val="Telobesedila2"/>
        <w:pBdr>
          <w:top w:val="single" w:sz="4" w:space="1" w:color="auto"/>
          <w:left w:val="single" w:sz="4" w:space="0" w:color="auto"/>
          <w:bottom w:val="single" w:sz="4" w:space="1" w:color="auto"/>
          <w:right w:val="single" w:sz="4" w:space="4" w:color="auto"/>
        </w:pBdr>
        <w:tabs>
          <w:tab w:val="left" w:pos="1276"/>
        </w:tabs>
        <w:spacing w:after="120"/>
        <w:rPr>
          <w:rFonts w:cs="Arial"/>
          <w:b w:val="0"/>
          <w:sz w:val="20"/>
        </w:rPr>
      </w:pPr>
      <w:r w:rsidRPr="004174D7">
        <w:rPr>
          <w:rFonts w:cs="Arial"/>
          <w:b w:val="0"/>
          <w:sz w:val="20"/>
        </w:rPr>
        <w:t>Način dokazovanja: Ponudnik mora k ponudbi priložiti izjavo proizvajalca stekel o skladnosti kvalitete vgrajenih stekel s standardom SIST EN 1279.</w:t>
      </w:r>
    </w:p>
    <w:p w:rsidR="00D0782E" w:rsidRPr="00221ED5" w:rsidRDefault="00DF1705" w:rsidP="00221ED5">
      <w:pPr>
        <w:widowControl/>
        <w:autoSpaceDE/>
        <w:autoSpaceDN/>
        <w:adjustRightInd/>
        <w:spacing w:after="120"/>
        <w:jc w:val="both"/>
        <w:rPr>
          <w:rFonts w:ascii="Arial" w:hAnsi="Arial" w:cs="Arial"/>
          <w:color w:val="000000"/>
          <w:sz w:val="20"/>
          <w:szCs w:val="20"/>
        </w:rPr>
      </w:pPr>
      <w:r w:rsidRPr="004174D7">
        <w:rPr>
          <w:rFonts w:ascii="Arial" w:hAnsi="Arial" w:cs="Arial"/>
          <w:color w:val="000000"/>
          <w:sz w:val="20"/>
          <w:szCs w:val="20"/>
        </w:rPr>
        <w:t>Certifikat pooblaščene organizacije o izpolnjevanju zahtev standarda je ponudnik zavezan predložiti v Tehnološkem elaboratu, ki ga mora naročniku predložiti pred uvedbo v delo.</w:t>
      </w:r>
    </w:p>
    <w:p w:rsidR="00DF21A2" w:rsidRPr="004174D7" w:rsidRDefault="00DF21A2" w:rsidP="00221ED5">
      <w:pPr>
        <w:pStyle w:val="Style1"/>
        <w:widowControl/>
        <w:spacing w:after="120" w:line="250" w:lineRule="exact"/>
        <w:rPr>
          <w:rFonts w:ascii="Arial" w:hAnsi="Arial" w:cs="Arial"/>
          <w:sz w:val="20"/>
          <w:szCs w:val="20"/>
        </w:rPr>
      </w:pPr>
      <w:r w:rsidRPr="004174D7">
        <w:rPr>
          <w:rFonts w:ascii="Arial" w:hAnsi="Arial" w:cs="Arial"/>
          <w:sz w:val="20"/>
          <w:szCs w:val="20"/>
        </w:rPr>
        <w:t>Vsa okna in vrata ter pripadajoče rolo omarice, ki se vgrajujejo morajo biti atestirane, skladno z Zakonom o gradbenih proizvodi</w:t>
      </w:r>
      <w:r w:rsidR="00DD3E6F" w:rsidRPr="004174D7">
        <w:rPr>
          <w:rFonts w:ascii="Arial" w:hAnsi="Arial" w:cs="Arial"/>
          <w:sz w:val="20"/>
          <w:szCs w:val="20"/>
        </w:rPr>
        <w:t>h (ZGPro-1) (Ur. l. RS 82/</w:t>
      </w:r>
      <w:r w:rsidRPr="004174D7">
        <w:rPr>
          <w:rFonts w:ascii="Arial" w:hAnsi="Arial" w:cs="Arial"/>
          <w:sz w:val="20"/>
          <w:szCs w:val="20"/>
        </w:rPr>
        <w:t>13).</w:t>
      </w:r>
    </w:p>
    <w:p w:rsidR="009C36CF" w:rsidRDefault="00DF21A2" w:rsidP="00221ED5">
      <w:pPr>
        <w:pStyle w:val="Style1"/>
        <w:widowControl/>
        <w:spacing w:after="120" w:line="250" w:lineRule="exact"/>
        <w:rPr>
          <w:rFonts w:ascii="Arial" w:hAnsi="Arial" w:cs="Arial"/>
          <w:sz w:val="20"/>
          <w:szCs w:val="20"/>
        </w:rPr>
      </w:pPr>
      <w:r w:rsidRPr="004174D7">
        <w:rPr>
          <w:rFonts w:ascii="Arial" w:hAnsi="Arial" w:cs="Arial"/>
          <w:sz w:val="20"/>
          <w:szCs w:val="20"/>
        </w:rPr>
        <w:t xml:space="preserve">Kjer pri ukrepih </w:t>
      </w:r>
      <w:r w:rsidR="00A236A6" w:rsidRPr="004174D7">
        <w:rPr>
          <w:rFonts w:ascii="Arial" w:hAnsi="Arial" w:cs="Arial"/>
          <w:sz w:val="20"/>
          <w:szCs w:val="20"/>
        </w:rPr>
        <w:t xml:space="preserve">poleg </w:t>
      </w:r>
      <w:r w:rsidRPr="004174D7">
        <w:rPr>
          <w:rFonts w:ascii="Arial" w:hAnsi="Arial" w:cs="Arial"/>
          <w:sz w:val="20"/>
          <w:szCs w:val="20"/>
        </w:rPr>
        <w:t xml:space="preserve">zasteklitve ni posebej navedeno tesnjenje, se smatra da sta potrebni vsaj dve trajno elastični, neskončni tesnili, po celotnem obodu okenskega krila oz. okenskega okvirja, vsaka v svoji ravnini, v primeru lesenih oken. V primeru PVC oken se priporoča uporaba treh trajno elastičnih tesnil po celotnem obodu, </w:t>
      </w:r>
      <w:r w:rsidR="00A236A6" w:rsidRPr="004174D7">
        <w:rPr>
          <w:rFonts w:ascii="Arial" w:hAnsi="Arial" w:cs="Arial"/>
          <w:sz w:val="20"/>
          <w:szCs w:val="20"/>
        </w:rPr>
        <w:t xml:space="preserve">kar </w:t>
      </w:r>
      <w:r w:rsidRPr="004174D7">
        <w:rPr>
          <w:rFonts w:ascii="Arial" w:hAnsi="Arial" w:cs="Arial"/>
          <w:sz w:val="20"/>
          <w:szCs w:val="20"/>
        </w:rPr>
        <w:t>PVC profili nač</w:t>
      </w:r>
      <w:r w:rsidR="00221ED5">
        <w:rPr>
          <w:rFonts w:ascii="Arial" w:hAnsi="Arial" w:cs="Arial"/>
          <w:sz w:val="20"/>
          <w:szCs w:val="20"/>
        </w:rPr>
        <w:t>eloma dopuščajo.</w:t>
      </w:r>
    </w:p>
    <w:p w:rsidR="00221ED5" w:rsidRPr="005564FC" w:rsidRDefault="005564FC" w:rsidP="005564FC">
      <w:pPr>
        <w:widowControl/>
        <w:tabs>
          <w:tab w:val="left" w:pos="1134"/>
        </w:tabs>
        <w:autoSpaceDE/>
        <w:autoSpaceDN/>
        <w:adjustRightInd/>
        <w:spacing w:after="120"/>
        <w:ind w:left="10"/>
        <w:jc w:val="both"/>
        <w:rPr>
          <w:rFonts w:ascii="Arial" w:hAnsi="Arial" w:cs="Arial"/>
          <w:sz w:val="20"/>
          <w:szCs w:val="20"/>
          <w:u w:val="single"/>
        </w:rPr>
      </w:pPr>
      <w:r>
        <w:rPr>
          <w:rFonts w:ascii="Arial" w:hAnsi="Arial" w:cs="Arial"/>
          <w:sz w:val="20"/>
          <w:szCs w:val="20"/>
          <w:u w:val="single"/>
        </w:rPr>
        <w:t xml:space="preserve">3. </w:t>
      </w:r>
      <w:r w:rsidR="00221ED5" w:rsidRPr="005564FC">
        <w:rPr>
          <w:rFonts w:ascii="Arial" w:hAnsi="Arial" w:cs="Arial"/>
          <w:sz w:val="20"/>
          <w:szCs w:val="20"/>
          <w:u w:val="single"/>
        </w:rPr>
        <w:t>Podrobnejši opis izvedbe sanacije</w:t>
      </w:r>
    </w:p>
    <w:p w:rsidR="00A66C54" w:rsidRDefault="00A66C54" w:rsidP="00A66C54">
      <w:pPr>
        <w:widowControl/>
        <w:spacing w:after="120"/>
        <w:jc w:val="both"/>
        <w:rPr>
          <w:rFonts w:ascii="Arial" w:hAnsi="Arial" w:cs="Arial"/>
          <w:sz w:val="20"/>
          <w:szCs w:val="20"/>
        </w:rPr>
      </w:pPr>
      <w:r w:rsidRPr="004174D7">
        <w:rPr>
          <w:rFonts w:ascii="Arial" w:hAnsi="Arial" w:cs="Arial"/>
          <w:sz w:val="20"/>
          <w:szCs w:val="20"/>
        </w:rPr>
        <w:t>Potrebna zvočna izolirnost fasadnih elementov je glede na konkretne situacije opredeljena s potrebno zvočno izolirnostjo celotnega fasadnega elementa</w:t>
      </w:r>
      <w:r>
        <w:rPr>
          <w:rFonts w:ascii="Arial" w:hAnsi="Arial" w:cs="Arial"/>
          <w:sz w:val="20"/>
          <w:szCs w:val="20"/>
        </w:rPr>
        <w:t>, izmerjeno v laboratoriju.</w:t>
      </w:r>
    </w:p>
    <w:p w:rsidR="00A66C54" w:rsidRPr="00A66C54" w:rsidRDefault="00A66C54" w:rsidP="00A66C54">
      <w:pPr>
        <w:widowControl/>
        <w:spacing w:after="120"/>
        <w:jc w:val="both"/>
        <w:rPr>
          <w:rFonts w:ascii="Arial" w:hAnsi="Arial" w:cs="Arial"/>
          <w:sz w:val="20"/>
          <w:szCs w:val="20"/>
        </w:rPr>
      </w:pPr>
      <w:r w:rsidRPr="00A66C54">
        <w:rPr>
          <w:rFonts w:ascii="Arial" w:hAnsi="Arial" w:cs="Arial"/>
          <w:sz w:val="20"/>
          <w:szCs w:val="20"/>
        </w:rPr>
        <w:t>Kjer obstoječi fasadni elementi ne ustrezajo potrebni zvočni izolirnosti, jih je potrebno zamenjati z elementi, ki imajo laboratorijsko zvočno izolirnost R</w:t>
      </w:r>
      <w:r w:rsidRPr="005E36A3">
        <w:rPr>
          <w:rFonts w:ascii="Arial" w:hAnsi="Arial" w:cs="Arial"/>
          <w:sz w:val="20"/>
          <w:szCs w:val="20"/>
          <w:vertAlign w:val="subscript"/>
        </w:rPr>
        <w:t xml:space="preserve">w,o,lab </w:t>
      </w:r>
      <w:r w:rsidRPr="00A66C54">
        <w:rPr>
          <w:rFonts w:ascii="Arial" w:hAnsi="Arial" w:cs="Arial"/>
          <w:sz w:val="20"/>
          <w:szCs w:val="20"/>
        </w:rPr>
        <w:t>za 2 dB večjo od potrebne računsko določene vre</w:t>
      </w:r>
      <w:r>
        <w:rPr>
          <w:rFonts w:ascii="Arial" w:hAnsi="Arial" w:cs="Arial"/>
          <w:sz w:val="20"/>
          <w:szCs w:val="20"/>
        </w:rPr>
        <w:t>dnosti (upoštevano v izračunu).</w:t>
      </w:r>
    </w:p>
    <w:p w:rsidR="00A66C54" w:rsidRPr="004174D7" w:rsidRDefault="00A66C54" w:rsidP="00A66C54">
      <w:pPr>
        <w:widowControl/>
        <w:spacing w:after="120"/>
        <w:jc w:val="both"/>
        <w:rPr>
          <w:rFonts w:ascii="Arial" w:hAnsi="Arial" w:cs="Arial"/>
          <w:sz w:val="20"/>
          <w:szCs w:val="20"/>
        </w:rPr>
      </w:pPr>
      <w:r w:rsidRPr="00A66C54">
        <w:rPr>
          <w:rFonts w:ascii="Arial" w:hAnsi="Arial" w:cs="Arial"/>
          <w:sz w:val="20"/>
          <w:szCs w:val="20"/>
        </w:rPr>
        <w:t>Pri menjavi obstoječih fasadnih elementov se ne vgrajujejo fasadni elementi z laboratorijsko zvočno izolirnostjo R</w:t>
      </w:r>
      <w:r w:rsidRPr="005E36A3">
        <w:rPr>
          <w:rFonts w:ascii="Arial" w:hAnsi="Arial" w:cs="Arial"/>
          <w:sz w:val="20"/>
          <w:szCs w:val="20"/>
          <w:vertAlign w:val="subscript"/>
        </w:rPr>
        <w:t xml:space="preserve">w,o,lab </w:t>
      </w:r>
      <w:r w:rsidRPr="00A66C54">
        <w:rPr>
          <w:rFonts w:ascii="Arial" w:hAnsi="Arial" w:cs="Arial"/>
          <w:sz w:val="20"/>
          <w:szCs w:val="20"/>
        </w:rPr>
        <w:t>manjšo od 36 dB.</w:t>
      </w:r>
    </w:p>
    <w:p w:rsidR="00A66C54" w:rsidRPr="004174D7" w:rsidRDefault="00A66C54" w:rsidP="00A66C54">
      <w:pPr>
        <w:widowControl/>
        <w:spacing w:after="120"/>
        <w:jc w:val="both"/>
        <w:rPr>
          <w:rFonts w:ascii="Arial" w:hAnsi="Arial" w:cs="Arial"/>
          <w:sz w:val="20"/>
          <w:szCs w:val="20"/>
        </w:rPr>
      </w:pPr>
      <w:r w:rsidRPr="004174D7">
        <w:rPr>
          <w:rFonts w:ascii="Arial" w:hAnsi="Arial" w:cs="Arial"/>
          <w:sz w:val="20"/>
          <w:szCs w:val="20"/>
        </w:rPr>
        <w:t xml:space="preserve">Pri vgradnji novih fasadnih elementov mora biti zagotovljeno tesnjenje med okenskim okvirjem in gradbeno konstrukcijo. Stare fasadne elemente, katere se nadomešča z novimi, se odstrani z notranje strani tako, da špalete in police ostanejo v največji možni meri nepoškodovane. Fasadne elemente se nato z notranje strani fiksira v odprtino. Špranjo med okvirjem in zidarsko odprtino se popolnoma zatesni. </w:t>
      </w:r>
    </w:p>
    <w:p w:rsidR="004174D7" w:rsidRPr="004174D7" w:rsidRDefault="00DF21A2" w:rsidP="00A66C54">
      <w:pPr>
        <w:pStyle w:val="Style1"/>
        <w:widowControl/>
        <w:spacing w:after="120" w:line="250" w:lineRule="exact"/>
        <w:rPr>
          <w:rFonts w:ascii="Arial" w:hAnsi="Arial" w:cs="Arial"/>
          <w:sz w:val="20"/>
          <w:szCs w:val="20"/>
        </w:rPr>
      </w:pPr>
      <w:r w:rsidRPr="004174D7">
        <w:rPr>
          <w:rFonts w:ascii="Arial" w:hAnsi="Arial" w:cs="Arial"/>
          <w:sz w:val="20"/>
          <w:szCs w:val="20"/>
        </w:rPr>
        <w:t>V kolikor se nameščajo poleg oken tudi notranje rolo omarice, mora biti njihova zvočna izolirnost primerljiva z zvočno izolirnostjo vgrajenih oken</w:t>
      </w:r>
      <w:r w:rsidR="00A236A6" w:rsidRPr="004174D7">
        <w:rPr>
          <w:rFonts w:ascii="Arial" w:hAnsi="Arial" w:cs="Arial"/>
          <w:sz w:val="20"/>
          <w:szCs w:val="20"/>
        </w:rPr>
        <w:t xml:space="preserve"> (ne sme biti za več kot 1 dB nižja od izolirnosti okna)</w:t>
      </w:r>
      <w:r w:rsidR="00C616C6">
        <w:rPr>
          <w:rFonts w:ascii="Arial" w:hAnsi="Arial" w:cs="Arial"/>
          <w:sz w:val="20"/>
          <w:szCs w:val="20"/>
        </w:rPr>
        <w:t>.</w:t>
      </w:r>
      <w:r w:rsidR="004F3946">
        <w:rPr>
          <w:rFonts w:ascii="Arial" w:hAnsi="Arial" w:cs="Arial"/>
          <w:sz w:val="20"/>
          <w:szCs w:val="20"/>
        </w:rPr>
        <w:t xml:space="preserve"> </w:t>
      </w:r>
      <w:r w:rsidR="009C36CF" w:rsidRPr="00C616C6">
        <w:rPr>
          <w:rFonts w:ascii="Arial" w:hAnsi="Arial" w:cs="Arial"/>
          <w:sz w:val="20"/>
          <w:szCs w:val="20"/>
        </w:rPr>
        <w:t>Zadostna zvočna izolirnost škatle se navadno doseže z notranjo oblogo iz zvočno izolirne (akustično težke) folije in zvočno absorpcijske pene.</w:t>
      </w:r>
      <w:r w:rsidR="004F3946">
        <w:rPr>
          <w:rFonts w:ascii="Arial" w:hAnsi="Arial" w:cs="Arial"/>
          <w:sz w:val="20"/>
          <w:szCs w:val="20"/>
        </w:rPr>
        <w:t xml:space="preserve"> </w:t>
      </w:r>
      <w:r w:rsidRPr="004174D7">
        <w:rPr>
          <w:rFonts w:ascii="Arial" w:hAnsi="Arial" w:cs="Arial"/>
          <w:sz w:val="20"/>
          <w:szCs w:val="20"/>
        </w:rPr>
        <w:t>Če ni mogoče zagotoviti primerljive zvočne izolirnosti notranjih rolo omaric z vgrajenimi okni, potem je potrebno, v kolikor s tem soglaša lastnik objekta vgraditi zunanje, predokenske rolo omarice.</w:t>
      </w:r>
      <w:r w:rsidR="004F3946">
        <w:rPr>
          <w:rFonts w:ascii="Arial" w:hAnsi="Arial" w:cs="Arial"/>
          <w:sz w:val="20"/>
          <w:szCs w:val="20"/>
        </w:rPr>
        <w:t xml:space="preserve"> P</w:t>
      </w:r>
      <w:r w:rsidR="00C616C6" w:rsidRPr="00C616C6">
        <w:rPr>
          <w:rFonts w:ascii="Arial" w:hAnsi="Arial" w:cs="Arial"/>
          <w:sz w:val="20"/>
          <w:szCs w:val="20"/>
        </w:rPr>
        <w:t xml:space="preserve">rostor, kjer so </w:t>
      </w:r>
      <w:r w:rsidR="004F3946">
        <w:rPr>
          <w:rFonts w:ascii="Arial" w:hAnsi="Arial" w:cs="Arial"/>
          <w:sz w:val="20"/>
          <w:szCs w:val="20"/>
        </w:rPr>
        <w:t xml:space="preserve">bile </w:t>
      </w:r>
      <w:r w:rsidR="00C616C6" w:rsidRPr="00C616C6">
        <w:rPr>
          <w:rFonts w:ascii="Arial" w:hAnsi="Arial" w:cs="Arial"/>
          <w:sz w:val="20"/>
          <w:szCs w:val="20"/>
        </w:rPr>
        <w:t>nameš</w:t>
      </w:r>
      <w:r w:rsidR="004F3946">
        <w:rPr>
          <w:rFonts w:ascii="Arial" w:hAnsi="Arial" w:cs="Arial"/>
          <w:sz w:val="20"/>
          <w:szCs w:val="20"/>
        </w:rPr>
        <w:t xml:space="preserve">čene obstoječe roletne omarice, se </w:t>
      </w:r>
      <w:r w:rsidR="00C616C6" w:rsidRPr="00C616C6">
        <w:rPr>
          <w:rFonts w:ascii="Arial" w:hAnsi="Arial" w:cs="Arial"/>
          <w:sz w:val="20"/>
          <w:szCs w:val="20"/>
        </w:rPr>
        <w:t xml:space="preserve">po odstranitvi obstoječih roletnih omaric zapre z mavčnokartonskimi ploščami in gradbeno konstrukcijo zapolni z mineralno volno (stekleno ali kameno) debeline najmanj 6 cm. Linearna upornost zračnemu toku mineralne volne mora znašati  ≥ 5 kNs/m4. Med mavčnokartonske plošče in mineralno </w:t>
      </w:r>
      <w:r w:rsidR="00C616C6" w:rsidRPr="00C616C6">
        <w:rPr>
          <w:rFonts w:ascii="Arial" w:hAnsi="Arial" w:cs="Arial"/>
          <w:sz w:val="20"/>
          <w:szCs w:val="20"/>
        </w:rPr>
        <w:lastRenderedPageBreak/>
        <w:t>volno se namesti parna zapora (PVC ali PE folija). Nova zunanja montažna roletna omarica se namesti na razširitveni profil oziroma na okenski okvir z zunanje strani.</w:t>
      </w:r>
    </w:p>
    <w:p w:rsidR="004174D7" w:rsidRPr="004174D7" w:rsidRDefault="004174D7" w:rsidP="00A66C54">
      <w:pPr>
        <w:widowControl/>
        <w:spacing w:after="60"/>
        <w:jc w:val="both"/>
        <w:rPr>
          <w:rFonts w:ascii="Arial" w:hAnsi="Arial" w:cs="Arial"/>
          <w:sz w:val="20"/>
          <w:szCs w:val="20"/>
        </w:rPr>
      </w:pPr>
      <w:r w:rsidRPr="004174D7">
        <w:rPr>
          <w:rFonts w:ascii="Arial" w:hAnsi="Arial" w:cs="Arial"/>
          <w:sz w:val="20"/>
          <w:szCs w:val="20"/>
        </w:rPr>
        <w:t>Okna se vgr</w:t>
      </w:r>
      <w:r w:rsidR="00DB3D58">
        <w:rPr>
          <w:rFonts w:ascii="Arial" w:hAnsi="Arial" w:cs="Arial"/>
          <w:sz w:val="20"/>
          <w:szCs w:val="20"/>
        </w:rPr>
        <w:t>ajuje po navodilih RAL montaže:</w:t>
      </w:r>
    </w:p>
    <w:p w:rsidR="004174D7" w:rsidRPr="00296D41" w:rsidRDefault="004174D7" w:rsidP="005E36A3">
      <w:pPr>
        <w:pStyle w:val="Odstavekseznama"/>
        <w:widowControl/>
        <w:numPr>
          <w:ilvl w:val="0"/>
          <w:numId w:val="14"/>
        </w:numPr>
        <w:spacing w:after="60"/>
        <w:ind w:left="567" w:hanging="283"/>
        <w:contextualSpacing w:val="0"/>
        <w:jc w:val="both"/>
        <w:rPr>
          <w:rFonts w:ascii="Arial" w:hAnsi="Arial" w:cs="Arial"/>
          <w:sz w:val="20"/>
          <w:szCs w:val="20"/>
        </w:rPr>
      </w:pPr>
      <w:r w:rsidRPr="00296D41">
        <w:rPr>
          <w:rFonts w:ascii="Arial" w:hAnsi="Arial" w:cs="Arial"/>
          <w:sz w:val="20"/>
          <w:szCs w:val="20"/>
        </w:rPr>
        <w:t>stične površine med fasadnim in gradbenim elementom morajo biti suhe, očiščene, ravne, gladke, zadostno oprijemljive,</w:t>
      </w:r>
    </w:p>
    <w:p w:rsidR="004174D7" w:rsidRPr="00296D41" w:rsidRDefault="004174D7" w:rsidP="005E36A3">
      <w:pPr>
        <w:pStyle w:val="Odstavekseznama"/>
        <w:widowControl/>
        <w:numPr>
          <w:ilvl w:val="0"/>
          <w:numId w:val="14"/>
        </w:numPr>
        <w:spacing w:after="60"/>
        <w:ind w:left="567" w:hanging="283"/>
        <w:contextualSpacing w:val="0"/>
        <w:jc w:val="both"/>
        <w:rPr>
          <w:rFonts w:ascii="Arial" w:hAnsi="Arial" w:cs="Arial"/>
          <w:sz w:val="20"/>
          <w:szCs w:val="20"/>
        </w:rPr>
      </w:pPr>
      <w:r w:rsidRPr="00296D41">
        <w:rPr>
          <w:rFonts w:ascii="Arial" w:hAnsi="Arial" w:cs="Arial"/>
          <w:sz w:val="20"/>
          <w:szCs w:val="20"/>
        </w:rPr>
        <w:t>na okvir okenskega krila se na notranjo stran (zgoraj, levo, desno) prilepi tesnilni trak ter se ga stisne z valjčkom (potrebno prekrivanje na vogalih cca. 5 cm),</w:t>
      </w:r>
    </w:p>
    <w:p w:rsidR="004174D7" w:rsidRPr="00296D41" w:rsidRDefault="004174D7" w:rsidP="005E36A3">
      <w:pPr>
        <w:pStyle w:val="Odstavekseznama"/>
        <w:widowControl/>
        <w:numPr>
          <w:ilvl w:val="0"/>
          <w:numId w:val="14"/>
        </w:numPr>
        <w:spacing w:after="60"/>
        <w:ind w:left="567" w:hanging="283"/>
        <w:contextualSpacing w:val="0"/>
        <w:jc w:val="both"/>
        <w:rPr>
          <w:rFonts w:ascii="Arial" w:hAnsi="Arial" w:cs="Arial"/>
          <w:sz w:val="20"/>
          <w:szCs w:val="20"/>
        </w:rPr>
      </w:pPr>
      <w:r w:rsidRPr="00296D41">
        <w:rPr>
          <w:rFonts w:ascii="Arial" w:hAnsi="Arial" w:cs="Arial"/>
          <w:sz w:val="20"/>
          <w:szCs w:val="20"/>
        </w:rPr>
        <w:t>okenski okvir se fiksira v okensko odprtino,</w:t>
      </w:r>
    </w:p>
    <w:p w:rsidR="004174D7" w:rsidRPr="00296D41" w:rsidRDefault="004174D7" w:rsidP="005E36A3">
      <w:pPr>
        <w:pStyle w:val="Odstavekseznama"/>
        <w:widowControl/>
        <w:numPr>
          <w:ilvl w:val="0"/>
          <w:numId w:val="14"/>
        </w:numPr>
        <w:spacing w:after="60"/>
        <w:ind w:left="567" w:hanging="283"/>
        <w:contextualSpacing w:val="0"/>
        <w:jc w:val="both"/>
        <w:rPr>
          <w:rFonts w:ascii="Arial" w:hAnsi="Arial" w:cs="Arial"/>
          <w:sz w:val="20"/>
          <w:szCs w:val="20"/>
        </w:rPr>
      </w:pPr>
      <w:r w:rsidRPr="00296D41">
        <w:rPr>
          <w:rFonts w:ascii="Arial" w:hAnsi="Arial" w:cs="Arial"/>
          <w:sz w:val="20"/>
          <w:szCs w:val="20"/>
        </w:rPr>
        <w:t>tesnjenje z zunanje strani se izvede z brizgalnimi tesnili (p</w:t>
      </w:r>
      <w:r w:rsidR="00296D41">
        <w:rPr>
          <w:rFonts w:ascii="Arial" w:hAnsi="Arial" w:cs="Arial"/>
          <w:sz w:val="20"/>
          <w:szCs w:val="20"/>
        </w:rPr>
        <w:t xml:space="preserve">redhodno se vstavi polnilno </w:t>
      </w:r>
      <w:r w:rsidRPr="00296D41">
        <w:rPr>
          <w:rFonts w:ascii="Arial" w:hAnsi="Arial" w:cs="Arial"/>
          <w:sz w:val="20"/>
          <w:szCs w:val="20"/>
        </w:rPr>
        <w:t>vrvico), predkomprimiranimi tesnilnimi trakovi ali difuzijsko odprto tesnilno folijo,</w:t>
      </w:r>
    </w:p>
    <w:p w:rsidR="004174D7" w:rsidRPr="00296D41" w:rsidRDefault="004174D7" w:rsidP="005E36A3">
      <w:pPr>
        <w:pStyle w:val="Odstavekseznama"/>
        <w:widowControl/>
        <w:numPr>
          <w:ilvl w:val="0"/>
          <w:numId w:val="14"/>
        </w:numPr>
        <w:spacing w:after="60"/>
        <w:ind w:left="567" w:hanging="283"/>
        <w:contextualSpacing w:val="0"/>
        <w:jc w:val="both"/>
        <w:rPr>
          <w:rFonts w:ascii="Arial" w:hAnsi="Arial" w:cs="Arial"/>
          <w:sz w:val="20"/>
          <w:szCs w:val="20"/>
        </w:rPr>
      </w:pPr>
      <w:r w:rsidRPr="00296D41">
        <w:rPr>
          <w:rFonts w:ascii="Arial" w:hAnsi="Arial" w:cs="Arial"/>
          <w:sz w:val="20"/>
          <w:szCs w:val="20"/>
        </w:rPr>
        <w:t>po konč</w:t>
      </w:r>
      <w:r w:rsidR="00296D41">
        <w:rPr>
          <w:rFonts w:ascii="Arial" w:hAnsi="Arial" w:cs="Arial"/>
          <w:sz w:val="20"/>
          <w:szCs w:val="20"/>
        </w:rPr>
        <w:t>anem tesnjenju z zunanje strani</w:t>
      </w:r>
      <w:r w:rsidRPr="00296D41">
        <w:rPr>
          <w:rFonts w:ascii="Arial" w:hAnsi="Arial" w:cs="Arial"/>
          <w:sz w:val="20"/>
          <w:szCs w:val="20"/>
        </w:rPr>
        <w:t xml:space="preserve"> se prazen prostor zapolni s poliuretansko peno,</w:t>
      </w:r>
    </w:p>
    <w:p w:rsidR="004174D7" w:rsidRPr="00296D41" w:rsidRDefault="004174D7" w:rsidP="005E36A3">
      <w:pPr>
        <w:pStyle w:val="Odstavekseznama"/>
        <w:widowControl/>
        <w:numPr>
          <w:ilvl w:val="0"/>
          <w:numId w:val="14"/>
        </w:numPr>
        <w:spacing w:after="60"/>
        <w:ind w:left="567" w:hanging="283"/>
        <w:contextualSpacing w:val="0"/>
        <w:jc w:val="both"/>
        <w:rPr>
          <w:rFonts w:ascii="Arial" w:hAnsi="Arial" w:cs="Arial"/>
          <w:sz w:val="20"/>
          <w:szCs w:val="20"/>
        </w:rPr>
      </w:pPr>
      <w:r w:rsidRPr="00296D41">
        <w:rPr>
          <w:rFonts w:ascii="Arial" w:hAnsi="Arial" w:cs="Arial"/>
          <w:sz w:val="20"/>
          <w:szCs w:val="20"/>
        </w:rPr>
        <w:t>tesnilni trak se prilepi na gradbeni element,</w:t>
      </w:r>
    </w:p>
    <w:p w:rsidR="004174D7" w:rsidRPr="00A66C54" w:rsidRDefault="004174D7" w:rsidP="005E36A3">
      <w:pPr>
        <w:pStyle w:val="Odstavekseznama"/>
        <w:widowControl/>
        <w:numPr>
          <w:ilvl w:val="0"/>
          <w:numId w:val="14"/>
        </w:numPr>
        <w:spacing w:after="120"/>
        <w:ind w:left="567" w:hanging="283"/>
        <w:contextualSpacing w:val="0"/>
        <w:jc w:val="both"/>
        <w:rPr>
          <w:rFonts w:ascii="Arial" w:hAnsi="Arial" w:cs="Arial"/>
          <w:sz w:val="20"/>
          <w:szCs w:val="20"/>
        </w:rPr>
      </w:pPr>
      <w:r w:rsidRPr="00296D41">
        <w:rPr>
          <w:rFonts w:ascii="Arial" w:hAnsi="Arial" w:cs="Arial"/>
          <w:sz w:val="20"/>
          <w:szCs w:val="20"/>
        </w:rPr>
        <w:t xml:space="preserve">po končanem tesnjenju se </w:t>
      </w:r>
      <w:r w:rsidR="00296D41" w:rsidRPr="00296D41">
        <w:rPr>
          <w:rFonts w:ascii="Arial" w:hAnsi="Arial" w:cs="Arial"/>
          <w:sz w:val="20"/>
          <w:szCs w:val="20"/>
        </w:rPr>
        <w:t xml:space="preserve">obdela </w:t>
      </w:r>
      <w:r w:rsidRPr="00296D41">
        <w:rPr>
          <w:rFonts w:ascii="Arial" w:hAnsi="Arial" w:cs="Arial"/>
          <w:sz w:val="20"/>
          <w:szCs w:val="20"/>
        </w:rPr>
        <w:t>okensko špaleto.</w:t>
      </w:r>
    </w:p>
    <w:p w:rsidR="0081318E" w:rsidRPr="00221ED5" w:rsidRDefault="0081318E" w:rsidP="00221ED5">
      <w:pPr>
        <w:pStyle w:val="Style4"/>
        <w:widowControl/>
        <w:spacing w:before="360" w:after="240" w:line="240" w:lineRule="auto"/>
        <w:jc w:val="both"/>
        <w:rPr>
          <w:rFonts w:ascii="Arial" w:hAnsi="Arial" w:cs="Arial"/>
          <w:b/>
          <w:bCs/>
          <w:sz w:val="20"/>
          <w:szCs w:val="20"/>
        </w:rPr>
      </w:pPr>
      <w:r w:rsidRPr="00221ED5">
        <w:rPr>
          <w:rStyle w:val="FontStyle20"/>
          <w:rFonts w:ascii="Arial" w:hAnsi="Arial" w:cs="Arial"/>
          <w:sz w:val="20"/>
          <w:szCs w:val="20"/>
        </w:rPr>
        <w:t>4.</w:t>
      </w:r>
      <w:r w:rsidR="00FD6B47" w:rsidRPr="00221ED5">
        <w:rPr>
          <w:rStyle w:val="FontStyle20"/>
          <w:rFonts w:ascii="Arial" w:hAnsi="Arial" w:cs="Arial"/>
          <w:sz w:val="20"/>
          <w:szCs w:val="20"/>
        </w:rPr>
        <w:tab/>
      </w:r>
      <w:r w:rsidRPr="00221ED5">
        <w:rPr>
          <w:rStyle w:val="FontStyle20"/>
          <w:rFonts w:ascii="Arial" w:hAnsi="Arial" w:cs="Arial"/>
          <w:sz w:val="20"/>
          <w:szCs w:val="20"/>
        </w:rPr>
        <w:t>ZAKONSKE IN STROKOVNE PODLAGE</w:t>
      </w:r>
    </w:p>
    <w:p w:rsidR="0081318E" w:rsidRPr="004174D7" w:rsidRDefault="0081318E" w:rsidP="00A66C54">
      <w:pPr>
        <w:pStyle w:val="Style1"/>
        <w:widowControl/>
        <w:spacing w:after="60" w:line="259" w:lineRule="exact"/>
        <w:rPr>
          <w:rStyle w:val="FontStyle17"/>
          <w:rFonts w:ascii="Arial" w:hAnsi="Arial" w:cs="Arial"/>
        </w:rPr>
      </w:pPr>
      <w:r w:rsidRPr="004174D7">
        <w:rPr>
          <w:rStyle w:val="FontStyle17"/>
          <w:rFonts w:ascii="Arial" w:hAnsi="Arial" w:cs="Arial"/>
        </w:rPr>
        <w:t>Pri iz</w:t>
      </w:r>
      <w:r w:rsidR="009A0293" w:rsidRPr="004174D7">
        <w:rPr>
          <w:rStyle w:val="FontStyle17"/>
          <w:rFonts w:ascii="Arial" w:hAnsi="Arial" w:cs="Arial"/>
        </w:rPr>
        <w:t>vedbi</w:t>
      </w:r>
      <w:r w:rsidRPr="004174D7">
        <w:rPr>
          <w:rStyle w:val="FontStyle17"/>
          <w:rFonts w:ascii="Arial" w:hAnsi="Arial" w:cs="Arial"/>
        </w:rPr>
        <w:t xml:space="preserve"> </w:t>
      </w:r>
      <w:r w:rsidR="009A0293" w:rsidRPr="004174D7">
        <w:rPr>
          <w:rStyle w:val="FontStyle17"/>
          <w:rFonts w:ascii="Arial" w:hAnsi="Arial" w:cs="Arial"/>
        </w:rPr>
        <w:t xml:space="preserve">pasivnih zaščit </w:t>
      </w:r>
      <w:r w:rsidRPr="004174D7">
        <w:rPr>
          <w:rStyle w:val="FontStyle17"/>
          <w:rFonts w:ascii="Arial" w:hAnsi="Arial" w:cs="Arial"/>
        </w:rPr>
        <w:t>je treba upoštevati vso veljavno zakonodajo s področja varstva pred hrupom, predvsem pa:</w:t>
      </w:r>
    </w:p>
    <w:p w:rsidR="00CD4869" w:rsidRPr="004174D7" w:rsidRDefault="00CD4869" w:rsidP="00A66C54">
      <w:pPr>
        <w:widowControl/>
        <w:numPr>
          <w:ilvl w:val="0"/>
          <w:numId w:val="9"/>
        </w:numPr>
        <w:shd w:val="clear" w:color="auto" w:fill="FFFFFF"/>
        <w:tabs>
          <w:tab w:val="left" w:pos="4541"/>
          <w:tab w:val="left" w:pos="5496"/>
          <w:tab w:val="left" w:pos="6643"/>
          <w:tab w:val="left" w:pos="7766"/>
          <w:tab w:val="left" w:pos="8597"/>
        </w:tabs>
        <w:autoSpaceDE/>
        <w:autoSpaceDN/>
        <w:adjustRightInd/>
        <w:spacing w:after="60" w:line="274" w:lineRule="exact"/>
        <w:jc w:val="both"/>
        <w:rPr>
          <w:rFonts w:ascii="Arial" w:hAnsi="Arial" w:cs="Arial"/>
          <w:sz w:val="20"/>
          <w:szCs w:val="20"/>
        </w:rPr>
      </w:pPr>
      <w:r w:rsidRPr="004174D7">
        <w:rPr>
          <w:rFonts w:ascii="Arial" w:hAnsi="Arial" w:cs="Arial"/>
          <w:sz w:val="20"/>
          <w:szCs w:val="20"/>
        </w:rPr>
        <w:t>Pravilnik o zaščiti pred hrupom v stavbah (Ur. list RS št. 10/12</w:t>
      </w:r>
      <w:r w:rsidR="00DD3E6F" w:rsidRPr="004174D7">
        <w:rPr>
          <w:rFonts w:ascii="Arial" w:hAnsi="Arial" w:cs="Arial"/>
          <w:sz w:val="20"/>
          <w:szCs w:val="20"/>
        </w:rPr>
        <w:t>, 61/17 – GZ in 199/21 – GZ-1</w:t>
      </w:r>
      <w:r w:rsidRPr="004174D7">
        <w:rPr>
          <w:rFonts w:ascii="Arial" w:hAnsi="Arial" w:cs="Arial"/>
          <w:sz w:val="20"/>
          <w:szCs w:val="20"/>
        </w:rPr>
        <w:t>),</w:t>
      </w:r>
    </w:p>
    <w:p w:rsidR="0081318E" w:rsidRPr="004174D7" w:rsidRDefault="007F1562" w:rsidP="00A66C54">
      <w:pPr>
        <w:widowControl/>
        <w:numPr>
          <w:ilvl w:val="0"/>
          <w:numId w:val="9"/>
        </w:numPr>
        <w:shd w:val="clear" w:color="auto" w:fill="FFFFFF"/>
        <w:tabs>
          <w:tab w:val="left" w:pos="4541"/>
          <w:tab w:val="left" w:pos="5496"/>
          <w:tab w:val="left" w:pos="6643"/>
          <w:tab w:val="left" w:pos="7766"/>
          <w:tab w:val="left" w:pos="8597"/>
        </w:tabs>
        <w:autoSpaceDE/>
        <w:autoSpaceDN/>
        <w:adjustRightInd/>
        <w:spacing w:after="60" w:line="274" w:lineRule="exact"/>
        <w:jc w:val="both"/>
        <w:rPr>
          <w:rFonts w:ascii="Arial" w:hAnsi="Arial" w:cs="Arial"/>
          <w:sz w:val="20"/>
          <w:szCs w:val="20"/>
        </w:rPr>
      </w:pPr>
      <w:r>
        <w:rPr>
          <w:rFonts w:ascii="Arial" w:hAnsi="Arial" w:cs="Arial"/>
          <w:sz w:val="20"/>
          <w:szCs w:val="20"/>
        </w:rPr>
        <w:t>Uredbo</w:t>
      </w:r>
      <w:r w:rsidR="0081318E" w:rsidRPr="004174D7">
        <w:rPr>
          <w:rFonts w:ascii="Arial" w:hAnsi="Arial" w:cs="Arial"/>
          <w:sz w:val="20"/>
          <w:szCs w:val="20"/>
        </w:rPr>
        <w:t xml:space="preserve"> o mejnih vrednostih kazalcev hrupa v okolju (Ur. list RS, št. </w:t>
      </w:r>
      <w:r w:rsidR="00DD3E6F" w:rsidRPr="004174D7">
        <w:rPr>
          <w:rFonts w:ascii="Arial" w:hAnsi="Arial" w:cs="Arial"/>
          <w:sz w:val="20"/>
          <w:szCs w:val="20"/>
        </w:rPr>
        <w:t>43/18, 59/19 in 44/22 – ZVO-2)</w:t>
      </w:r>
      <w:r w:rsidR="0042539F" w:rsidRPr="004174D7">
        <w:rPr>
          <w:rFonts w:ascii="Arial" w:hAnsi="Arial" w:cs="Arial"/>
          <w:sz w:val="20"/>
          <w:szCs w:val="20"/>
        </w:rPr>
        <w:t>,</w:t>
      </w:r>
    </w:p>
    <w:p w:rsidR="00EF236B" w:rsidRPr="00221ED5" w:rsidRDefault="00DD3E6F" w:rsidP="00A66C54">
      <w:pPr>
        <w:widowControl/>
        <w:numPr>
          <w:ilvl w:val="0"/>
          <w:numId w:val="9"/>
        </w:numPr>
        <w:shd w:val="clear" w:color="auto" w:fill="FFFFFF"/>
        <w:tabs>
          <w:tab w:val="left" w:pos="4541"/>
          <w:tab w:val="left" w:pos="5496"/>
          <w:tab w:val="left" w:pos="6643"/>
          <w:tab w:val="left" w:pos="7766"/>
          <w:tab w:val="left" w:pos="8597"/>
        </w:tabs>
        <w:autoSpaceDE/>
        <w:autoSpaceDN/>
        <w:adjustRightInd/>
        <w:spacing w:after="120" w:line="274" w:lineRule="exact"/>
        <w:ind w:left="714" w:hanging="357"/>
        <w:jc w:val="both"/>
        <w:rPr>
          <w:rStyle w:val="FontStyle17"/>
          <w:rFonts w:ascii="Arial" w:hAnsi="Arial" w:cs="Arial"/>
        </w:rPr>
      </w:pPr>
      <w:r w:rsidRPr="004174D7">
        <w:rPr>
          <w:rFonts w:ascii="Arial" w:hAnsi="Arial" w:cs="Arial"/>
          <w:sz w:val="20"/>
          <w:szCs w:val="20"/>
        </w:rPr>
        <w:t>Elaborat pasivne protihrupne zaščite na območju občine Litija ob glavni železniški progi št. 10 (A-projekt d. o. o., št. Aprojekt 10/2022 in ZAG, št. 261/21-520-1, februar 2023)</w:t>
      </w:r>
      <w:r w:rsidR="00CD4869" w:rsidRPr="004174D7">
        <w:rPr>
          <w:rFonts w:ascii="Arial" w:hAnsi="Arial" w:cs="Arial"/>
          <w:sz w:val="20"/>
          <w:szCs w:val="20"/>
        </w:rPr>
        <w:t>.</w:t>
      </w:r>
    </w:p>
    <w:p w:rsidR="0081318E" w:rsidRPr="00221ED5" w:rsidRDefault="009718AC" w:rsidP="00221ED5">
      <w:pPr>
        <w:pStyle w:val="Style4"/>
        <w:widowControl/>
        <w:spacing w:before="360" w:after="240" w:line="240" w:lineRule="auto"/>
        <w:jc w:val="both"/>
        <w:rPr>
          <w:rFonts w:ascii="Arial" w:hAnsi="Arial" w:cs="Arial"/>
          <w:b/>
          <w:bCs/>
          <w:sz w:val="20"/>
          <w:szCs w:val="20"/>
        </w:rPr>
      </w:pPr>
      <w:r w:rsidRPr="00221ED5">
        <w:rPr>
          <w:rStyle w:val="FontStyle20"/>
          <w:rFonts w:ascii="Arial" w:hAnsi="Arial" w:cs="Arial"/>
          <w:sz w:val="20"/>
          <w:szCs w:val="20"/>
        </w:rPr>
        <w:t>5</w:t>
      </w:r>
      <w:r w:rsidR="009D2F61" w:rsidRPr="00221ED5">
        <w:rPr>
          <w:rStyle w:val="FontStyle20"/>
          <w:rFonts w:ascii="Arial" w:hAnsi="Arial" w:cs="Arial"/>
          <w:sz w:val="20"/>
          <w:szCs w:val="20"/>
        </w:rPr>
        <w:t>.</w:t>
      </w:r>
      <w:r w:rsidR="009D2F61" w:rsidRPr="00221ED5">
        <w:rPr>
          <w:rStyle w:val="FontStyle20"/>
          <w:rFonts w:ascii="Arial" w:hAnsi="Arial" w:cs="Arial"/>
          <w:sz w:val="20"/>
          <w:szCs w:val="20"/>
        </w:rPr>
        <w:tab/>
      </w:r>
      <w:r w:rsidR="0081318E" w:rsidRPr="00221ED5">
        <w:rPr>
          <w:rStyle w:val="FontStyle20"/>
          <w:rFonts w:ascii="Arial" w:hAnsi="Arial" w:cs="Arial"/>
          <w:sz w:val="20"/>
          <w:szCs w:val="20"/>
        </w:rPr>
        <w:t>OBVEZNOSTI IZVAJALCA</w:t>
      </w:r>
    </w:p>
    <w:p w:rsidR="004F730F" w:rsidRPr="004174D7" w:rsidRDefault="004F730F" w:rsidP="005564FC">
      <w:pPr>
        <w:shd w:val="clear" w:color="auto" w:fill="FFFFFF"/>
        <w:spacing w:after="120" w:line="216" w:lineRule="exact"/>
        <w:ind w:left="10" w:right="5"/>
        <w:jc w:val="both"/>
        <w:rPr>
          <w:rStyle w:val="FontStyle17"/>
          <w:rFonts w:ascii="Arial" w:hAnsi="Arial" w:cs="Arial"/>
        </w:rPr>
      </w:pPr>
      <w:r w:rsidRPr="004174D7">
        <w:rPr>
          <w:rStyle w:val="FontStyle17"/>
          <w:rFonts w:ascii="Arial" w:hAnsi="Arial" w:cs="Arial"/>
        </w:rPr>
        <w:t xml:space="preserve">Izvajalec mora biti ob podpisu pogodbe seznanjen </w:t>
      </w:r>
      <w:r w:rsidR="00DD3E6F" w:rsidRPr="004174D7">
        <w:rPr>
          <w:rStyle w:val="FontStyle17"/>
          <w:rFonts w:ascii="Arial" w:hAnsi="Arial" w:cs="Arial"/>
        </w:rPr>
        <w:t xml:space="preserve">s celotnim </w:t>
      </w:r>
      <w:r w:rsidR="0038074D">
        <w:rPr>
          <w:rStyle w:val="FontStyle17"/>
          <w:rFonts w:ascii="Arial" w:hAnsi="Arial" w:cs="Arial"/>
        </w:rPr>
        <w:t>obsegom del</w:t>
      </w:r>
      <w:r w:rsidRPr="004174D7">
        <w:rPr>
          <w:rStyle w:val="FontStyle17"/>
          <w:rFonts w:ascii="Arial" w:hAnsi="Arial" w:cs="Arial"/>
        </w:rPr>
        <w:t xml:space="preserve"> kot tudi s projektno dokumentacijo, po kateri bo dela izvajal in se vnaprej odpoveduje vsakršnemu zahtevku iz naslova nepredvideni</w:t>
      </w:r>
      <w:r w:rsidR="005622E1" w:rsidRPr="004174D7">
        <w:rPr>
          <w:rStyle w:val="FontStyle17"/>
          <w:rFonts w:ascii="Arial" w:hAnsi="Arial" w:cs="Arial"/>
        </w:rPr>
        <w:t>h pogojev za delo, nepopolne in</w:t>
      </w:r>
      <w:r w:rsidRPr="004174D7">
        <w:rPr>
          <w:rStyle w:val="FontStyle17"/>
          <w:rFonts w:ascii="Arial" w:hAnsi="Arial" w:cs="Arial"/>
        </w:rPr>
        <w:t>/ali neustrezne dokumentacije ter se zavezuje, da bo tovrstne pomanjkljivosti ustrezno saniral na lastne stroške in na način, ki ga bo predhodno uskladil z naročnikom, ne da bi zaradi tega trpel rok gradnje, kvaliteta vgrajenega materiala ali izvedenih del, funkcionalnosti posameznih delov ali objekta kot celote.</w:t>
      </w:r>
    </w:p>
    <w:p w:rsidR="00602737" w:rsidRPr="004174D7" w:rsidRDefault="004F730F" w:rsidP="005564FC">
      <w:pPr>
        <w:shd w:val="clear" w:color="auto" w:fill="FFFFFF"/>
        <w:spacing w:after="120" w:line="206" w:lineRule="exact"/>
        <w:ind w:right="5"/>
        <w:jc w:val="both"/>
        <w:rPr>
          <w:rStyle w:val="FontStyle17"/>
          <w:rFonts w:ascii="Arial" w:hAnsi="Arial" w:cs="Arial"/>
        </w:rPr>
      </w:pPr>
      <w:r w:rsidRPr="004174D7">
        <w:rPr>
          <w:rStyle w:val="FontStyle17"/>
          <w:rFonts w:ascii="Arial" w:hAnsi="Arial" w:cs="Arial"/>
        </w:rPr>
        <w:t>Izvajalec je odgovoren za vsako eventualno škodo (vključno z odtujitvijo stvari), ki nastane na objektu ali v prostorih</w:t>
      </w:r>
      <w:r w:rsidR="00DD3E6F" w:rsidRPr="004174D7">
        <w:rPr>
          <w:rStyle w:val="FontStyle17"/>
          <w:rFonts w:ascii="Arial" w:hAnsi="Arial" w:cs="Arial"/>
        </w:rPr>
        <w:t>, v</w:t>
      </w:r>
      <w:r w:rsidRPr="004174D7">
        <w:rPr>
          <w:rStyle w:val="FontStyle17"/>
          <w:rFonts w:ascii="Arial" w:hAnsi="Arial" w:cs="Arial"/>
        </w:rPr>
        <w:t xml:space="preserve"> katerih se izvaja menjava stavbnega pohištva zaradi malomarnega oz. kakršnega koli ravnanja izvajalca in se obvezuje odpraviti vse tovrstne poškodbe na lastne stroške. </w:t>
      </w:r>
      <w:r w:rsidR="00DD3E6F" w:rsidRPr="004174D7">
        <w:rPr>
          <w:rStyle w:val="FontStyle17"/>
          <w:rFonts w:ascii="Arial" w:hAnsi="Arial" w:cs="Arial"/>
        </w:rPr>
        <w:t>Če</w:t>
      </w:r>
      <w:r w:rsidRPr="004174D7">
        <w:rPr>
          <w:rStyle w:val="FontStyle17"/>
          <w:rFonts w:ascii="Arial" w:hAnsi="Arial" w:cs="Arial"/>
        </w:rPr>
        <w:t xml:space="preserve"> poškodb ne odpravi v roku, ki je dogovorjen z naročnikom, lahko to zagotovi naročnik na stroške izvajalca.</w:t>
      </w:r>
    </w:p>
    <w:p w:rsidR="00602737" w:rsidRPr="005564FC" w:rsidRDefault="004F730F" w:rsidP="005564FC">
      <w:pPr>
        <w:shd w:val="clear" w:color="auto" w:fill="FFFFFF"/>
        <w:spacing w:after="120" w:line="216" w:lineRule="exact"/>
        <w:jc w:val="both"/>
        <w:rPr>
          <w:rFonts w:ascii="Arial" w:hAnsi="Arial" w:cs="Arial"/>
          <w:sz w:val="20"/>
          <w:szCs w:val="20"/>
        </w:rPr>
      </w:pPr>
      <w:r w:rsidRPr="004174D7">
        <w:rPr>
          <w:rStyle w:val="FontStyle17"/>
          <w:rFonts w:ascii="Arial" w:hAnsi="Arial" w:cs="Arial"/>
        </w:rPr>
        <w:t>Naročnik in izvajalec nadzora imata pravico nadzorovati izvajalca pri opravljanju del po tej pogodbi in mu dajati navodila. Izvajalec je dolžan naročnika in izvajalca nadzora opozoriti na pomanjkljivosti njegovega naročila, kot tudi na druge okoliščine, ki so pomembne za pravočasno izvedbo del po tej pogodbi, sicer je naročniku odškodninsko odgovoren.</w:t>
      </w:r>
    </w:p>
    <w:p w:rsidR="00602737" w:rsidRPr="004174D7" w:rsidRDefault="00602737" w:rsidP="005564FC">
      <w:pPr>
        <w:pStyle w:val="Telobesedila2"/>
        <w:spacing w:after="120"/>
        <w:rPr>
          <w:rFonts w:cs="Arial"/>
          <w:b w:val="0"/>
          <w:sz w:val="20"/>
        </w:rPr>
      </w:pPr>
      <w:r w:rsidRPr="004174D7">
        <w:rPr>
          <w:rFonts w:cs="Arial"/>
          <w:b w:val="0"/>
          <w:sz w:val="20"/>
        </w:rPr>
        <w:t>Pri gradnji, rednem ali investicijskem vzdrževanju, nakupu ali vgradnji oziroma montaži naprav in proizvodov se morajo upoštevati zahteve naročnika, ki se nanašajo na predmet gradnje ali montaže in jih je naročnik opredelil že v postopku javnega naročanja za projektiranje projekta za izvedbo pasivne protihrupne zaščite.</w:t>
      </w:r>
    </w:p>
    <w:p w:rsidR="0081318E" w:rsidRPr="00221ED5" w:rsidRDefault="009718AC" w:rsidP="00221ED5">
      <w:pPr>
        <w:pStyle w:val="Style4"/>
        <w:widowControl/>
        <w:spacing w:before="360" w:after="240" w:line="240" w:lineRule="auto"/>
        <w:jc w:val="both"/>
        <w:rPr>
          <w:rFonts w:ascii="Arial" w:hAnsi="Arial" w:cs="Arial"/>
          <w:b/>
          <w:bCs/>
          <w:sz w:val="20"/>
          <w:szCs w:val="20"/>
        </w:rPr>
      </w:pPr>
      <w:r w:rsidRPr="00221ED5">
        <w:rPr>
          <w:rStyle w:val="FontStyle20"/>
          <w:rFonts w:ascii="Arial" w:hAnsi="Arial" w:cs="Arial"/>
          <w:sz w:val="20"/>
          <w:szCs w:val="20"/>
        </w:rPr>
        <w:t>6</w:t>
      </w:r>
      <w:r w:rsidR="009D2F61" w:rsidRPr="00221ED5">
        <w:rPr>
          <w:rStyle w:val="FontStyle20"/>
          <w:rFonts w:ascii="Arial" w:hAnsi="Arial" w:cs="Arial"/>
          <w:sz w:val="20"/>
          <w:szCs w:val="20"/>
        </w:rPr>
        <w:t>.</w:t>
      </w:r>
      <w:r w:rsidR="009D2F61" w:rsidRPr="00221ED5">
        <w:rPr>
          <w:rStyle w:val="FontStyle20"/>
          <w:rFonts w:ascii="Arial" w:hAnsi="Arial" w:cs="Arial"/>
          <w:sz w:val="20"/>
          <w:szCs w:val="20"/>
        </w:rPr>
        <w:tab/>
      </w:r>
      <w:r w:rsidR="0081318E" w:rsidRPr="00221ED5">
        <w:rPr>
          <w:rStyle w:val="FontStyle20"/>
          <w:rFonts w:ascii="Arial" w:hAnsi="Arial" w:cs="Arial"/>
          <w:sz w:val="20"/>
          <w:szCs w:val="20"/>
        </w:rPr>
        <w:t>TERMINSKI POTEK IN ROK ZA IZVEDBO NALOGE</w:t>
      </w:r>
    </w:p>
    <w:p w:rsidR="0081318E" w:rsidRPr="005564FC" w:rsidRDefault="00501E40" w:rsidP="004174D7">
      <w:pPr>
        <w:pStyle w:val="Style1"/>
        <w:widowControl/>
        <w:spacing w:before="19" w:line="245" w:lineRule="exact"/>
        <w:rPr>
          <w:rStyle w:val="FontStyle17"/>
          <w:rFonts w:ascii="Arial" w:hAnsi="Arial" w:cs="Arial"/>
        </w:rPr>
      </w:pPr>
      <w:r w:rsidRPr="004174D7">
        <w:rPr>
          <w:rStyle w:val="FontStyle17"/>
          <w:rFonts w:ascii="Arial" w:hAnsi="Arial" w:cs="Arial"/>
        </w:rPr>
        <w:t xml:space="preserve">Izvedba pasivne </w:t>
      </w:r>
      <w:r w:rsidRPr="005564FC">
        <w:rPr>
          <w:rStyle w:val="FontStyle17"/>
          <w:rFonts w:ascii="Arial" w:hAnsi="Arial" w:cs="Arial"/>
        </w:rPr>
        <w:t>protihrupne sanacije</w:t>
      </w:r>
      <w:r w:rsidR="0081318E" w:rsidRPr="005564FC">
        <w:rPr>
          <w:rStyle w:val="FontStyle17"/>
          <w:rFonts w:ascii="Arial" w:hAnsi="Arial" w:cs="Arial"/>
        </w:rPr>
        <w:t xml:space="preserve"> </w:t>
      </w:r>
      <w:r w:rsidRPr="005564FC">
        <w:rPr>
          <w:rStyle w:val="FontStyle17"/>
          <w:rFonts w:ascii="Arial" w:hAnsi="Arial" w:cs="Arial"/>
        </w:rPr>
        <w:t>za omenjeno javno naročilo</w:t>
      </w:r>
      <w:r w:rsidR="0081318E" w:rsidRPr="005564FC">
        <w:rPr>
          <w:rStyle w:val="FontStyle17"/>
          <w:rFonts w:ascii="Arial" w:hAnsi="Arial" w:cs="Arial"/>
        </w:rPr>
        <w:t xml:space="preserve"> </w:t>
      </w:r>
      <w:r w:rsidRPr="005564FC">
        <w:rPr>
          <w:rStyle w:val="FontStyle17"/>
          <w:rFonts w:ascii="Arial" w:hAnsi="Arial" w:cs="Arial"/>
        </w:rPr>
        <w:t xml:space="preserve">mora biti izvedena </w:t>
      </w:r>
      <w:r w:rsidR="0081318E" w:rsidRPr="005564FC">
        <w:rPr>
          <w:rStyle w:val="FontStyle17"/>
          <w:rFonts w:ascii="Arial" w:hAnsi="Arial" w:cs="Arial"/>
        </w:rPr>
        <w:t xml:space="preserve">v roku </w:t>
      </w:r>
      <w:r w:rsidR="00DD3E6F" w:rsidRPr="005564FC">
        <w:rPr>
          <w:rStyle w:val="FontStyle17"/>
          <w:rFonts w:ascii="Arial" w:hAnsi="Arial" w:cs="Arial"/>
          <w:u w:val="single"/>
        </w:rPr>
        <w:t>osmih</w:t>
      </w:r>
      <w:r w:rsidR="00A236A6" w:rsidRPr="005564FC">
        <w:rPr>
          <w:rStyle w:val="FontStyle17"/>
          <w:rFonts w:ascii="Arial" w:hAnsi="Arial" w:cs="Arial"/>
          <w:u w:val="single"/>
        </w:rPr>
        <w:t xml:space="preserve"> </w:t>
      </w:r>
      <w:r w:rsidR="00851A48" w:rsidRPr="005564FC">
        <w:rPr>
          <w:rStyle w:val="FontStyle17"/>
          <w:rFonts w:ascii="Arial" w:hAnsi="Arial" w:cs="Arial"/>
          <w:u w:val="single"/>
        </w:rPr>
        <w:t>(</w:t>
      </w:r>
      <w:r w:rsidR="00DD3E6F" w:rsidRPr="005564FC">
        <w:rPr>
          <w:rStyle w:val="FontStyle17"/>
          <w:rFonts w:ascii="Arial" w:hAnsi="Arial" w:cs="Arial"/>
          <w:u w:val="single"/>
        </w:rPr>
        <w:t>8</w:t>
      </w:r>
      <w:r w:rsidR="00851A48" w:rsidRPr="005564FC">
        <w:rPr>
          <w:rStyle w:val="FontStyle17"/>
          <w:rFonts w:ascii="Arial" w:hAnsi="Arial" w:cs="Arial"/>
          <w:u w:val="single"/>
        </w:rPr>
        <w:t>)</w:t>
      </w:r>
      <w:r w:rsidR="0081318E" w:rsidRPr="005564FC">
        <w:rPr>
          <w:rStyle w:val="FontStyle17"/>
          <w:rFonts w:ascii="Arial" w:hAnsi="Arial" w:cs="Arial"/>
          <w:u w:val="single"/>
        </w:rPr>
        <w:t xml:space="preserve"> mesecev</w:t>
      </w:r>
      <w:r w:rsidR="0081318E" w:rsidRPr="005564FC">
        <w:rPr>
          <w:rStyle w:val="FontStyle17"/>
          <w:rFonts w:ascii="Arial" w:hAnsi="Arial" w:cs="Arial"/>
        </w:rPr>
        <w:t xml:space="preserve"> od </w:t>
      </w:r>
      <w:r w:rsidRPr="005564FC">
        <w:rPr>
          <w:rStyle w:val="FontStyle17"/>
          <w:rFonts w:ascii="Arial" w:hAnsi="Arial" w:cs="Arial"/>
        </w:rPr>
        <w:t>datuma uvedbe v posel</w:t>
      </w:r>
      <w:r w:rsidR="0081318E" w:rsidRPr="005564FC">
        <w:rPr>
          <w:rStyle w:val="FontStyle17"/>
          <w:rFonts w:ascii="Arial" w:hAnsi="Arial" w:cs="Arial"/>
        </w:rPr>
        <w:t>.</w:t>
      </w:r>
    </w:p>
    <w:p w:rsidR="00EB633D" w:rsidRDefault="00EB633D" w:rsidP="004174D7">
      <w:pPr>
        <w:pStyle w:val="Style1"/>
        <w:widowControl/>
        <w:spacing w:before="10" w:line="250" w:lineRule="exact"/>
        <w:ind w:right="8894"/>
        <w:rPr>
          <w:rStyle w:val="FontStyle17"/>
          <w:rFonts w:ascii="Arial" w:hAnsi="Arial" w:cs="Arial"/>
        </w:rPr>
      </w:pPr>
    </w:p>
    <w:p w:rsidR="005564FC" w:rsidRPr="005564FC" w:rsidRDefault="005564FC" w:rsidP="004174D7">
      <w:pPr>
        <w:pStyle w:val="Style1"/>
        <w:widowControl/>
        <w:spacing w:before="10" w:line="250" w:lineRule="exact"/>
        <w:ind w:right="8894"/>
        <w:rPr>
          <w:rStyle w:val="FontStyle17"/>
          <w:rFonts w:ascii="Arial" w:hAnsi="Arial" w:cs="Arial"/>
        </w:rPr>
      </w:pPr>
    </w:p>
    <w:p w:rsidR="0081318E" w:rsidRPr="005564FC" w:rsidRDefault="009D2F61" w:rsidP="004174D7">
      <w:pPr>
        <w:pStyle w:val="Style1"/>
        <w:widowControl/>
        <w:spacing w:before="10" w:line="250" w:lineRule="exact"/>
        <w:ind w:right="630"/>
        <w:rPr>
          <w:rFonts w:ascii="Arial" w:hAnsi="Arial" w:cs="Arial"/>
          <w:sz w:val="20"/>
          <w:szCs w:val="20"/>
        </w:rPr>
      </w:pPr>
      <w:r w:rsidRPr="005564FC">
        <w:rPr>
          <w:rStyle w:val="FontStyle17"/>
          <w:rFonts w:ascii="Arial" w:hAnsi="Arial" w:cs="Arial"/>
        </w:rPr>
        <w:tab/>
      </w:r>
      <w:r w:rsidRPr="005564FC">
        <w:rPr>
          <w:rStyle w:val="FontStyle17"/>
          <w:rFonts w:ascii="Arial" w:hAnsi="Arial" w:cs="Arial"/>
        </w:rPr>
        <w:tab/>
      </w:r>
      <w:r w:rsidRPr="005564FC">
        <w:rPr>
          <w:rStyle w:val="FontStyle17"/>
          <w:rFonts w:ascii="Arial" w:hAnsi="Arial" w:cs="Arial"/>
        </w:rPr>
        <w:tab/>
      </w:r>
      <w:r w:rsidRPr="005564FC">
        <w:rPr>
          <w:rStyle w:val="FontStyle17"/>
          <w:rFonts w:ascii="Arial" w:hAnsi="Arial" w:cs="Arial"/>
        </w:rPr>
        <w:tab/>
      </w:r>
      <w:r w:rsidR="00FD6B47" w:rsidRPr="005564FC">
        <w:rPr>
          <w:rStyle w:val="FontStyle17"/>
          <w:rFonts w:ascii="Arial" w:hAnsi="Arial" w:cs="Arial"/>
        </w:rPr>
        <w:tab/>
      </w:r>
      <w:r w:rsidR="00FD6B47" w:rsidRPr="005564FC">
        <w:rPr>
          <w:rStyle w:val="FontStyle17"/>
          <w:rFonts w:ascii="Arial" w:hAnsi="Arial" w:cs="Arial"/>
        </w:rPr>
        <w:tab/>
      </w:r>
      <w:r w:rsidR="00FD6B47" w:rsidRPr="005564FC">
        <w:rPr>
          <w:rStyle w:val="FontStyle17"/>
          <w:rFonts w:ascii="Arial" w:hAnsi="Arial" w:cs="Arial"/>
        </w:rPr>
        <w:tab/>
      </w:r>
      <w:r w:rsidR="00FD6B47" w:rsidRPr="005564FC">
        <w:rPr>
          <w:rStyle w:val="FontStyle17"/>
          <w:rFonts w:ascii="Arial" w:hAnsi="Arial" w:cs="Arial"/>
        </w:rPr>
        <w:tab/>
      </w:r>
      <w:bookmarkStart w:id="0" w:name="_GoBack"/>
      <w:bookmarkEnd w:id="0"/>
    </w:p>
    <w:sectPr w:rsidR="0081318E" w:rsidRPr="005564FC" w:rsidSect="0089557E">
      <w:type w:val="continuous"/>
      <w:pgSz w:w="11905" w:h="16837"/>
      <w:pgMar w:top="782" w:right="1526" w:bottom="993" w:left="1418"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90E" w:rsidRDefault="0024390E">
      <w:r>
        <w:separator/>
      </w:r>
    </w:p>
  </w:endnote>
  <w:endnote w:type="continuationSeparator" w:id="0">
    <w:p w:rsidR="0024390E" w:rsidRDefault="00243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rostileT">
    <w:altName w:val="Agency FB"/>
    <w:charset w:val="EE"/>
    <w:family w:val="swiss"/>
    <w:pitch w:val="variable"/>
    <w:sig w:usb0="800000AF" w:usb1="000078F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90E" w:rsidRDefault="0024390E">
      <w:r>
        <w:separator/>
      </w:r>
    </w:p>
  </w:footnote>
  <w:footnote w:type="continuationSeparator" w:id="0">
    <w:p w:rsidR="0024390E" w:rsidRDefault="00243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948AF2"/>
    <w:lvl w:ilvl="0">
      <w:numFmt w:val="bullet"/>
      <w:lvlText w:val="*"/>
      <w:lvlJc w:val="left"/>
    </w:lvl>
  </w:abstractNum>
  <w:abstractNum w:abstractNumId="1" w15:restartNumberingAfterBreak="0">
    <w:nsid w:val="00D216AE"/>
    <w:multiLevelType w:val="hybridMultilevel"/>
    <w:tmpl w:val="B8180CA4"/>
    <w:lvl w:ilvl="0" w:tplc="F0D80F6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76091"/>
    <w:multiLevelType w:val="singleLevel"/>
    <w:tmpl w:val="C590B49C"/>
    <w:lvl w:ilvl="0">
      <w:start w:val="4"/>
      <w:numFmt w:val="decimal"/>
      <w:lvlText w:val="%1."/>
      <w:legacy w:legacy="1" w:legacySpace="0" w:legacyIndent="226"/>
      <w:lvlJc w:val="left"/>
      <w:rPr>
        <w:rFonts w:ascii="Times New Roman" w:hAnsi="Times New Roman" w:cs="Times New Roman" w:hint="default"/>
      </w:rPr>
    </w:lvl>
  </w:abstractNum>
  <w:abstractNum w:abstractNumId="3" w15:restartNumberingAfterBreak="0">
    <w:nsid w:val="11AA52F2"/>
    <w:multiLevelType w:val="hybridMultilevel"/>
    <w:tmpl w:val="7480D68A"/>
    <w:lvl w:ilvl="0" w:tplc="04240001">
      <w:start w:val="1"/>
      <w:numFmt w:val="bullet"/>
      <w:lvlText w:val=""/>
      <w:lvlJc w:val="left"/>
      <w:pPr>
        <w:ind w:left="720" w:hanging="360"/>
      </w:pPr>
      <w:rPr>
        <w:rFonts w:ascii="Symbol" w:hAnsi="Symbol" w:hint="default"/>
      </w:rPr>
    </w:lvl>
    <w:lvl w:ilvl="1" w:tplc="EEF864AE">
      <w:start w:val="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C355B6"/>
    <w:multiLevelType w:val="hybridMultilevel"/>
    <w:tmpl w:val="CE726E8E"/>
    <w:lvl w:ilvl="0" w:tplc="B7E8C5B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141DA5"/>
    <w:multiLevelType w:val="hybridMultilevel"/>
    <w:tmpl w:val="01800664"/>
    <w:lvl w:ilvl="0" w:tplc="FA4A8C82">
      <w:start w:val="1"/>
      <w:numFmt w:val="decimal"/>
      <w:lvlText w:val="%1."/>
      <w:lvlJc w:val="left"/>
      <w:pPr>
        <w:ind w:left="1500" w:hanging="11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B5616F"/>
    <w:multiLevelType w:val="hybridMultilevel"/>
    <w:tmpl w:val="65AC0514"/>
    <w:lvl w:ilvl="0" w:tplc="C41A9890">
      <w:start w:val="1"/>
      <w:numFmt w:val="bullet"/>
      <w:lvlText w:val="-"/>
      <w:lvlJc w:val="left"/>
      <w:pPr>
        <w:tabs>
          <w:tab w:val="num" w:pos="720"/>
        </w:tabs>
        <w:ind w:left="720" w:hanging="360"/>
      </w:pPr>
      <w:rPr>
        <w:rFonts w:ascii="Arial" w:hAnsi="Arial" w:hint="default"/>
        <w:b w:val="0"/>
        <w:i w:val="0"/>
        <w:sz w:val="16"/>
      </w:rPr>
    </w:lvl>
    <w:lvl w:ilvl="1" w:tplc="C41A9890">
      <w:start w:val="1"/>
      <w:numFmt w:val="bullet"/>
      <w:lvlText w:val="-"/>
      <w:lvlJc w:val="left"/>
      <w:pPr>
        <w:tabs>
          <w:tab w:val="num" w:pos="1534"/>
        </w:tabs>
        <w:ind w:left="1534" w:hanging="454"/>
      </w:pPr>
      <w:rPr>
        <w:rFonts w:ascii="Arial" w:hAnsi="Arial" w:hint="default"/>
        <w:b w:val="0"/>
        <w:i w:val="0"/>
        <w:sz w:val="16"/>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B556C3"/>
    <w:multiLevelType w:val="hybridMultilevel"/>
    <w:tmpl w:val="9DDCB176"/>
    <w:lvl w:ilvl="0" w:tplc="FA4A8C82">
      <w:start w:val="1"/>
      <w:numFmt w:val="decimal"/>
      <w:lvlText w:val="%1."/>
      <w:lvlJc w:val="left"/>
      <w:pPr>
        <w:ind w:left="1500" w:hanging="11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8A3B49"/>
    <w:multiLevelType w:val="hybridMultilevel"/>
    <w:tmpl w:val="3BF6D7E0"/>
    <w:lvl w:ilvl="0" w:tplc="C2C0B06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C6D06D8"/>
    <w:multiLevelType w:val="singleLevel"/>
    <w:tmpl w:val="9BA6B156"/>
    <w:lvl w:ilvl="0">
      <w:start w:val="7"/>
      <w:numFmt w:val="decimal"/>
      <w:lvlText w:val="%1"/>
      <w:legacy w:legacy="1" w:legacySpace="0" w:legacyIndent="701"/>
      <w:lvlJc w:val="left"/>
      <w:rPr>
        <w:rFonts w:ascii="Tahoma" w:hAnsi="Tahoma" w:cs="Tahoma" w:hint="default"/>
      </w:rPr>
    </w:lvl>
  </w:abstractNum>
  <w:abstractNum w:abstractNumId="10" w15:restartNumberingAfterBreak="0">
    <w:nsid w:val="2F8D64AD"/>
    <w:multiLevelType w:val="hybridMultilevel"/>
    <w:tmpl w:val="F79827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297E3E"/>
    <w:multiLevelType w:val="hybridMultilevel"/>
    <w:tmpl w:val="B916030E"/>
    <w:lvl w:ilvl="0" w:tplc="FA4A8C82">
      <w:start w:val="1"/>
      <w:numFmt w:val="decimal"/>
      <w:lvlText w:val="%1."/>
      <w:lvlJc w:val="left"/>
      <w:pPr>
        <w:ind w:left="1500" w:hanging="11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DF0C58"/>
    <w:multiLevelType w:val="singleLevel"/>
    <w:tmpl w:val="9892B85A"/>
    <w:lvl w:ilvl="0">
      <w:start w:val="9"/>
      <w:numFmt w:val="decimal"/>
      <w:lvlText w:val="%1"/>
      <w:legacy w:legacy="1" w:legacySpace="0" w:legacyIndent="701"/>
      <w:lvlJc w:val="left"/>
      <w:rPr>
        <w:rFonts w:ascii="Times New Roman" w:hAnsi="Times New Roman" w:cs="Times New Roman" w:hint="default"/>
      </w:rPr>
    </w:lvl>
  </w:abstractNum>
  <w:abstractNum w:abstractNumId="13" w15:restartNumberingAfterBreak="0">
    <w:nsid w:val="631D106E"/>
    <w:multiLevelType w:val="hybridMultilevel"/>
    <w:tmpl w:val="1E3ADF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9D754D"/>
    <w:multiLevelType w:val="hybridMultilevel"/>
    <w:tmpl w:val="97485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E6B4E9D"/>
    <w:multiLevelType w:val="singleLevel"/>
    <w:tmpl w:val="68B44A02"/>
    <w:lvl w:ilvl="0">
      <w:start w:val="8"/>
      <w:numFmt w:val="decimal"/>
      <w:lvlText w:val="%1"/>
      <w:legacy w:legacy="1" w:legacySpace="0" w:legacyIndent="701"/>
      <w:lvlJc w:val="left"/>
      <w:rPr>
        <w:rFonts w:ascii="Times New Roman" w:hAnsi="Times New Roman" w:cs="Times New Roman" w:hint="default"/>
      </w:rPr>
    </w:lvl>
  </w:abstractNum>
  <w:abstractNum w:abstractNumId="16" w15:restartNumberingAfterBreak="0">
    <w:nsid w:val="781760E7"/>
    <w:multiLevelType w:val="hybridMultilevel"/>
    <w:tmpl w:val="0F84BEBE"/>
    <w:lvl w:ilvl="0" w:tplc="C2C0B06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8E40569"/>
    <w:multiLevelType w:val="hybridMultilevel"/>
    <w:tmpl w:val="8A58FA20"/>
    <w:lvl w:ilvl="0" w:tplc="C2C0B06E">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E6F3596"/>
    <w:multiLevelType w:val="singleLevel"/>
    <w:tmpl w:val="085E46B6"/>
    <w:lvl w:ilvl="0">
      <w:start w:val="3"/>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F746AFF"/>
    <w:multiLevelType w:val="hybridMultilevel"/>
    <w:tmpl w:val="FA683252"/>
    <w:lvl w:ilvl="0" w:tplc="EE5A8A56">
      <w:start w:val="1"/>
      <w:numFmt w:val="decimal"/>
      <w:lvlText w:val="%1."/>
      <w:lvlJc w:val="left"/>
      <w:pPr>
        <w:ind w:left="360" w:hanging="360"/>
      </w:pPr>
      <w:rPr>
        <w:rFonts w:hint="default"/>
        <w:b w:val="0"/>
        <w:i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0"/>
    <w:lvlOverride w:ilvl="0">
      <w:lvl w:ilvl="0">
        <w:numFmt w:val="bullet"/>
        <w:lvlText w:val="-"/>
        <w:legacy w:legacy="1" w:legacySpace="0" w:legacyIndent="360"/>
        <w:lvlJc w:val="left"/>
        <w:rPr>
          <w:rFonts w:ascii="Times New Roman" w:hAnsi="Times New Roman" w:hint="default"/>
        </w:rPr>
      </w:lvl>
    </w:lvlOverride>
  </w:num>
  <w:num w:numId="3">
    <w:abstractNumId w:val="18"/>
  </w:num>
  <w:num w:numId="4">
    <w:abstractNumId w:val="2"/>
  </w:num>
  <w:num w:numId="5">
    <w:abstractNumId w:val="9"/>
  </w:num>
  <w:num w:numId="6">
    <w:abstractNumId w:val="15"/>
  </w:num>
  <w:num w:numId="7">
    <w:abstractNumId w:val="12"/>
  </w:num>
  <w:num w:numId="8">
    <w:abstractNumId w:val="1"/>
  </w:num>
  <w:num w:numId="9">
    <w:abstractNumId w:val="6"/>
  </w:num>
  <w:num w:numId="10">
    <w:abstractNumId w:val="19"/>
  </w:num>
  <w:num w:numId="11">
    <w:abstractNumId w:val="13"/>
  </w:num>
  <w:num w:numId="12">
    <w:abstractNumId w:val="10"/>
  </w:num>
  <w:num w:numId="13">
    <w:abstractNumId w:val="16"/>
  </w:num>
  <w:num w:numId="14">
    <w:abstractNumId w:val="17"/>
  </w:num>
  <w:num w:numId="15">
    <w:abstractNumId w:val="8"/>
  </w:num>
  <w:num w:numId="16">
    <w:abstractNumId w:val="5"/>
  </w:num>
  <w:num w:numId="17">
    <w:abstractNumId w:val="7"/>
  </w:num>
  <w:num w:numId="18">
    <w:abstractNumId w:val="11"/>
  </w:num>
  <w:num w:numId="19">
    <w:abstractNumId w:val="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3D"/>
    <w:rsid w:val="00007380"/>
    <w:rsid w:val="00010B13"/>
    <w:rsid w:val="00032FEC"/>
    <w:rsid w:val="000339A6"/>
    <w:rsid w:val="0004191E"/>
    <w:rsid w:val="000446AA"/>
    <w:rsid w:val="000C79AE"/>
    <w:rsid w:val="000D2D0B"/>
    <w:rsid w:val="000E2899"/>
    <w:rsid w:val="00110167"/>
    <w:rsid w:val="001113EB"/>
    <w:rsid w:val="0011249E"/>
    <w:rsid w:val="001162E4"/>
    <w:rsid w:val="0013762C"/>
    <w:rsid w:val="00171FCA"/>
    <w:rsid w:val="0017297C"/>
    <w:rsid w:val="00176F0A"/>
    <w:rsid w:val="0018346F"/>
    <w:rsid w:val="00186246"/>
    <w:rsid w:val="001A01F2"/>
    <w:rsid w:val="001B1F71"/>
    <w:rsid w:val="001B3ACE"/>
    <w:rsid w:val="001D49C0"/>
    <w:rsid w:val="001E28A6"/>
    <w:rsid w:val="0020549B"/>
    <w:rsid w:val="00221ED5"/>
    <w:rsid w:val="00230240"/>
    <w:rsid w:val="002340EF"/>
    <w:rsid w:val="0024390E"/>
    <w:rsid w:val="00245910"/>
    <w:rsid w:val="0025180C"/>
    <w:rsid w:val="00265EC6"/>
    <w:rsid w:val="002747A8"/>
    <w:rsid w:val="002777E1"/>
    <w:rsid w:val="00291647"/>
    <w:rsid w:val="00296D41"/>
    <w:rsid w:val="002B52F8"/>
    <w:rsid w:val="002B6B67"/>
    <w:rsid w:val="002C37F8"/>
    <w:rsid w:val="002F6917"/>
    <w:rsid w:val="00301FAC"/>
    <w:rsid w:val="00310CF1"/>
    <w:rsid w:val="00345551"/>
    <w:rsid w:val="0038074D"/>
    <w:rsid w:val="00382BF4"/>
    <w:rsid w:val="00390C20"/>
    <w:rsid w:val="003935CC"/>
    <w:rsid w:val="003A50C0"/>
    <w:rsid w:val="003A5652"/>
    <w:rsid w:val="003B3A98"/>
    <w:rsid w:val="003D3EC0"/>
    <w:rsid w:val="00415789"/>
    <w:rsid w:val="004174D7"/>
    <w:rsid w:val="0042539F"/>
    <w:rsid w:val="00425669"/>
    <w:rsid w:val="00431935"/>
    <w:rsid w:val="00443EA2"/>
    <w:rsid w:val="0049094F"/>
    <w:rsid w:val="004C3B9A"/>
    <w:rsid w:val="004C7472"/>
    <w:rsid w:val="004C765E"/>
    <w:rsid w:val="004E6632"/>
    <w:rsid w:val="004F0144"/>
    <w:rsid w:val="004F3946"/>
    <w:rsid w:val="004F658E"/>
    <w:rsid w:val="004F730F"/>
    <w:rsid w:val="00501E40"/>
    <w:rsid w:val="00521E3D"/>
    <w:rsid w:val="00527F47"/>
    <w:rsid w:val="005342A2"/>
    <w:rsid w:val="0054441C"/>
    <w:rsid w:val="005564FC"/>
    <w:rsid w:val="005622E1"/>
    <w:rsid w:val="00586034"/>
    <w:rsid w:val="005B3F7D"/>
    <w:rsid w:val="005B4111"/>
    <w:rsid w:val="005D3331"/>
    <w:rsid w:val="005E36A3"/>
    <w:rsid w:val="00602737"/>
    <w:rsid w:val="00606CBD"/>
    <w:rsid w:val="006126B1"/>
    <w:rsid w:val="00641105"/>
    <w:rsid w:val="006638CB"/>
    <w:rsid w:val="00692C8A"/>
    <w:rsid w:val="006953F0"/>
    <w:rsid w:val="006D125F"/>
    <w:rsid w:val="006D1AE5"/>
    <w:rsid w:val="006D4BDD"/>
    <w:rsid w:val="006E3D00"/>
    <w:rsid w:val="0070483E"/>
    <w:rsid w:val="00704C6E"/>
    <w:rsid w:val="00705DB3"/>
    <w:rsid w:val="00743040"/>
    <w:rsid w:val="00745A9F"/>
    <w:rsid w:val="007523CE"/>
    <w:rsid w:val="00767723"/>
    <w:rsid w:val="00772148"/>
    <w:rsid w:val="007725EC"/>
    <w:rsid w:val="00774F8D"/>
    <w:rsid w:val="007867AC"/>
    <w:rsid w:val="00793247"/>
    <w:rsid w:val="007D25EE"/>
    <w:rsid w:val="007E7F02"/>
    <w:rsid w:val="007F1562"/>
    <w:rsid w:val="007F4407"/>
    <w:rsid w:val="008072F3"/>
    <w:rsid w:val="0081318E"/>
    <w:rsid w:val="00837D9C"/>
    <w:rsid w:val="00851A48"/>
    <w:rsid w:val="00860882"/>
    <w:rsid w:val="00887F6E"/>
    <w:rsid w:val="0089557E"/>
    <w:rsid w:val="008A00F0"/>
    <w:rsid w:val="008A0BFF"/>
    <w:rsid w:val="008A0C2A"/>
    <w:rsid w:val="008A6EAB"/>
    <w:rsid w:val="008C289C"/>
    <w:rsid w:val="008D2D55"/>
    <w:rsid w:val="008E7286"/>
    <w:rsid w:val="008F06D2"/>
    <w:rsid w:val="009321C3"/>
    <w:rsid w:val="0093601B"/>
    <w:rsid w:val="00950C18"/>
    <w:rsid w:val="009718AC"/>
    <w:rsid w:val="00974E97"/>
    <w:rsid w:val="0097703D"/>
    <w:rsid w:val="00980D44"/>
    <w:rsid w:val="009837A7"/>
    <w:rsid w:val="009A0293"/>
    <w:rsid w:val="009C36CF"/>
    <w:rsid w:val="009D2F61"/>
    <w:rsid w:val="00A236A6"/>
    <w:rsid w:val="00A66C54"/>
    <w:rsid w:val="00A820DC"/>
    <w:rsid w:val="00A8799A"/>
    <w:rsid w:val="00A92B8C"/>
    <w:rsid w:val="00AA578F"/>
    <w:rsid w:val="00AB0D2C"/>
    <w:rsid w:val="00AB1BE7"/>
    <w:rsid w:val="00AB1D72"/>
    <w:rsid w:val="00AC4CA7"/>
    <w:rsid w:val="00AD0F2C"/>
    <w:rsid w:val="00AD3462"/>
    <w:rsid w:val="00AE072F"/>
    <w:rsid w:val="00B16058"/>
    <w:rsid w:val="00B45214"/>
    <w:rsid w:val="00B45CBE"/>
    <w:rsid w:val="00B74A47"/>
    <w:rsid w:val="00B8057B"/>
    <w:rsid w:val="00BA4032"/>
    <w:rsid w:val="00BA594C"/>
    <w:rsid w:val="00BF07C5"/>
    <w:rsid w:val="00BF72A4"/>
    <w:rsid w:val="00C5097D"/>
    <w:rsid w:val="00C616C6"/>
    <w:rsid w:val="00C85612"/>
    <w:rsid w:val="00C96BBA"/>
    <w:rsid w:val="00CA067A"/>
    <w:rsid w:val="00CB0EFF"/>
    <w:rsid w:val="00CB3DCF"/>
    <w:rsid w:val="00CD4869"/>
    <w:rsid w:val="00CD6D91"/>
    <w:rsid w:val="00D0782E"/>
    <w:rsid w:val="00D3331A"/>
    <w:rsid w:val="00D40A63"/>
    <w:rsid w:val="00D63392"/>
    <w:rsid w:val="00D73D71"/>
    <w:rsid w:val="00D74716"/>
    <w:rsid w:val="00D843BF"/>
    <w:rsid w:val="00DB3D58"/>
    <w:rsid w:val="00DC27EE"/>
    <w:rsid w:val="00DD0309"/>
    <w:rsid w:val="00DD3E6F"/>
    <w:rsid w:val="00DD7CC1"/>
    <w:rsid w:val="00DF1705"/>
    <w:rsid w:val="00DF21A2"/>
    <w:rsid w:val="00DF31E6"/>
    <w:rsid w:val="00E01B8C"/>
    <w:rsid w:val="00E11277"/>
    <w:rsid w:val="00E169D2"/>
    <w:rsid w:val="00E20664"/>
    <w:rsid w:val="00E26A00"/>
    <w:rsid w:val="00E321C8"/>
    <w:rsid w:val="00E451F3"/>
    <w:rsid w:val="00E62B25"/>
    <w:rsid w:val="00E735E9"/>
    <w:rsid w:val="00E800AB"/>
    <w:rsid w:val="00E8099D"/>
    <w:rsid w:val="00E937D5"/>
    <w:rsid w:val="00E94FA8"/>
    <w:rsid w:val="00EA38CD"/>
    <w:rsid w:val="00EB09AB"/>
    <w:rsid w:val="00EB2DD7"/>
    <w:rsid w:val="00EB633D"/>
    <w:rsid w:val="00EC0A3F"/>
    <w:rsid w:val="00EE4CDE"/>
    <w:rsid w:val="00EF236B"/>
    <w:rsid w:val="00F128C2"/>
    <w:rsid w:val="00F15BDF"/>
    <w:rsid w:val="00F34BA0"/>
    <w:rsid w:val="00F37689"/>
    <w:rsid w:val="00F40CD8"/>
    <w:rsid w:val="00F6372F"/>
    <w:rsid w:val="00F7151E"/>
    <w:rsid w:val="00F76518"/>
    <w:rsid w:val="00F7794A"/>
    <w:rsid w:val="00F84C5B"/>
    <w:rsid w:val="00F9186E"/>
    <w:rsid w:val="00F943A1"/>
    <w:rsid w:val="00F94F97"/>
    <w:rsid w:val="00FB5DC8"/>
    <w:rsid w:val="00FC159B"/>
    <w:rsid w:val="00FC1B4B"/>
    <w:rsid w:val="00FD425F"/>
    <w:rsid w:val="00FD6B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E6ABCF3-1044-4BD8-8AA5-9396F41B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utoSpaceDE w:val="0"/>
      <w:autoSpaceDN w:val="0"/>
      <w:adjustRightInd w:val="0"/>
    </w:pPr>
    <w:rPr>
      <w:rFonts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52" w:lineRule="exact"/>
      <w:jc w:val="both"/>
    </w:pPr>
  </w:style>
  <w:style w:type="paragraph" w:customStyle="1" w:styleId="Style2">
    <w:name w:val="Style2"/>
    <w:basedOn w:val="Navaden"/>
    <w:uiPriority w:val="99"/>
    <w:pPr>
      <w:spacing w:line="253" w:lineRule="exact"/>
      <w:jc w:val="both"/>
    </w:pPr>
  </w:style>
  <w:style w:type="paragraph" w:customStyle="1" w:styleId="Style3">
    <w:name w:val="Style3"/>
    <w:basedOn w:val="Navaden"/>
    <w:uiPriority w:val="99"/>
    <w:pPr>
      <w:spacing w:line="252" w:lineRule="exact"/>
    </w:pPr>
  </w:style>
  <w:style w:type="paragraph" w:customStyle="1" w:styleId="Style4">
    <w:name w:val="Style4"/>
    <w:basedOn w:val="Navaden"/>
    <w:uiPriority w:val="99"/>
    <w:pPr>
      <w:spacing w:line="250" w:lineRule="exact"/>
      <w:jc w:val="center"/>
    </w:pPr>
  </w:style>
  <w:style w:type="paragraph" w:customStyle="1" w:styleId="Style5">
    <w:name w:val="Style5"/>
    <w:basedOn w:val="Navaden"/>
    <w:uiPriority w:val="99"/>
  </w:style>
  <w:style w:type="paragraph" w:customStyle="1" w:styleId="Style6">
    <w:name w:val="Style6"/>
    <w:basedOn w:val="Navaden"/>
    <w:uiPriority w:val="99"/>
  </w:style>
  <w:style w:type="paragraph" w:customStyle="1" w:styleId="Style7">
    <w:name w:val="Style7"/>
    <w:basedOn w:val="Navaden"/>
    <w:uiPriority w:val="99"/>
  </w:style>
  <w:style w:type="paragraph" w:customStyle="1" w:styleId="Style8">
    <w:name w:val="Style8"/>
    <w:basedOn w:val="Navaden"/>
    <w:uiPriority w:val="99"/>
  </w:style>
  <w:style w:type="paragraph" w:customStyle="1" w:styleId="Style9">
    <w:name w:val="Style9"/>
    <w:basedOn w:val="Navaden"/>
    <w:uiPriority w:val="99"/>
    <w:pPr>
      <w:spacing w:line="250" w:lineRule="exact"/>
      <w:ind w:hanging="355"/>
      <w:jc w:val="both"/>
    </w:pPr>
  </w:style>
  <w:style w:type="paragraph" w:customStyle="1" w:styleId="Style10">
    <w:name w:val="Style10"/>
    <w:basedOn w:val="Navaden"/>
    <w:uiPriority w:val="99"/>
    <w:pPr>
      <w:spacing w:line="259" w:lineRule="exact"/>
      <w:ind w:hanging="350"/>
    </w:pPr>
  </w:style>
  <w:style w:type="paragraph" w:customStyle="1" w:styleId="Style11">
    <w:name w:val="Style11"/>
    <w:basedOn w:val="Navaden"/>
    <w:uiPriority w:val="99"/>
    <w:pPr>
      <w:spacing w:line="221" w:lineRule="exact"/>
    </w:pPr>
  </w:style>
  <w:style w:type="paragraph" w:customStyle="1" w:styleId="Style12">
    <w:name w:val="Style12"/>
    <w:basedOn w:val="Navaden"/>
    <w:uiPriority w:val="99"/>
  </w:style>
  <w:style w:type="paragraph" w:customStyle="1" w:styleId="Style13">
    <w:name w:val="Style13"/>
    <w:basedOn w:val="Navaden"/>
    <w:uiPriority w:val="99"/>
    <w:pPr>
      <w:spacing w:line="254" w:lineRule="exact"/>
      <w:ind w:hanging="283"/>
    </w:pPr>
  </w:style>
  <w:style w:type="paragraph" w:customStyle="1" w:styleId="Style14">
    <w:name w:val="Style14"/>
    <w:basedOn w:val="Navaden"/>
    <w:uiPriority w:val="99"/>
  </w:style>
  <w:style w:type="character" w:customStyle="1" w:styleId="FontStyle16">
    <w:name w:val="Font Style16"/>
    <w:uiPriority w:val="99"/>
    <w:rPr>
      <w:rFonts w:ascii="Times New Roman" w:hAnsi="Times New Roman" w:cs="Times New Roman"/>
      <w:b/>
      <w:bCs/>
      <w:sz w:val="20"/>
      <w:szCs w:val="20"/>
    </w:rPr>
  </w:style>
  <w:style w:type="character" w:customStyle="1" w:styleId="FontStyle17">
    <w:name w:val="Font Style17"/>
    <w:uiPriority w:val="99"/>
    <w:rPr>
      <w:rFonts w:ascii="Times New Roman" w:hAnsi="Times New Roman" w:cs="Times New Roman"/>
      <w:sz w:val="20"/>
      <w:szCs w:val="20"/>
    </w:rPr>
  </w:style>
  <w:style w:type="character" w:customStyle="1" w:styleId="FontStyle18">
    <w:name w:val="Font Style18"/>
    <w:uiPriority w:val="99"/>
    <w:rPr>
      <w:rFonts w:ascii="Times New Roman" w:hAnsi="Times New Roman" w:cs="Times New Roman"/>
      <w:b/>
      <w:bCs/>
      <w:sz w:val="18"/>
      <w:szCs w:val="18"/>
    </w:rPr>
  </w:style>
  <w:style w:type="character" w:customStyle="1" w:styleId="FontStyle19">
    <w:name w:val="Font Style19"/>
    <w:uiPriority w:val="99"/>
    <w:rPr>
      <w:rFonts w:ascii="Tahoma" w:hAnsi="Tahoma" w:cs="Tahoma"/>
      <w:sz w:val="16"/>
      <w:szCs w:val="16"/>
    </w:rPr>
  </w:style>
  <w:style w:type="character" w:customStyle="1" w:styleId="FontStyle20">
    <w:name w:val="Font Style20"/>
    <w:uiPriority w:val="99"/>
    <w:rPr>
      <w:rFonts w:ascii="Tahoma" w:hAnsi="Tahoma" w:cs="Tahoma"/>
      <w:b/>
      <w:bCs/>
      <w:sz w:val="16"/>
      <w:szCs w:val="16"/>
    </w:rPr>
  </w:style>
  <w:style w:type="character" w:customStyle="1" w:styleId="FontStyle21">
    <w:name w:val="Font Style21"/>
    <w:uiPriority w:val="99"/>
    <w:rPr>
      <w:rFonts w:ascii="Tahoma" w:hAnsi="Tahoma" w:cs="Tahoma"/>
      <w:i/>
      <w:iCs/>
      <w:sz w:val="16"/>
      <w:szCs w:val="16"/>
    </w:rPr>
  </w:style>
  <w:style w:type="character" w:styleId="Hiperpovezava">
    <w:name w:val="Hyperlink"/>
    <w:uiPriority w:val="99"/>
    <w:rPr>
      <w:rFonts w:cs="Times New Roman"/>
      <w:color w:val="0066CC"/>
      <w:u w:val="single"/>
    </w:rPr>
  </w:style>
  <w:style w:type="paragraph" w:styleId="Besedilooblaka">
    <w:name w:val="Balloon Text"/>
    <w:basedOn w:val="Navaden"/>
    <w:link w:val="BesedilooblakaZnak"/>
    <w:uiPriority w:val="99"/>
    <w:semiHidden/>
    <w:unhideWhenUsed/>
    <w:rsid w:val="00A820DC"/>
    <w:rPr>
      <w:rFonts w:ascii="Tahoma" w:hAnsi="Tahoma" w:cs="Tahoma"/>
      <w:sz w:val="16"/>
      <w:szCs w:val="16"/>
    </w:rPr>
  </w:style>
  <w:style w:type="character" w:customStyle="1" w:styleId="BesedilooblakaZnak">
    <w:name w:val="Besedilo oblačka Znak"/>
    <w:link w:val="Besedilooblaka"/>
    <w:uiPriority w:val="99"/>
    <w:semiHidden/>
    <w:locked/>
    <w:rsid w:val="00A820DC"/>
    <w:rPr>
      <w:rFonts w:ascii="Tahoma" w:hAnsi="Tahoma" w:cs="Tahoma"/>
      <w:sz w:val="16"/>
      <w:szCs w:val="16"/>
    </w:rPr>
  </w:style>
  <w:style w:type="paragraph" w:styleId="Telobesedila2">
    <w:name w:val="Body Text 2"/>
    <w:basedOn w:val="Navaden"/>
    <w:link w:val="Telobesedila2Znak"/>
    <w:rsid w:val="00602737"/>
    <w:pPr>
      <w:widowControl/>
      <w:autoSpaceDE/>
      <w:autoSpaceDN/>
      <w:adjustRightInd/>
      <w:jc w:val="both"/>
    </w:pPr>
    <w:rPr>
      <w:rFonts w:ascii="Arial" w:hAnsi="Arial"/>
      <w:b/>
      <w:sz w:val="22"/>
      <w:szCs w:val="20"/>
    </w:rPr>
  </w:style>
  <w:style w:type="character" w:customStyle="1" w:styleId="Telobesedila2Znak">
    <w:name w:val="Telo besedila 2 Znak"/>
    <w:link w:val="Telobesedila2"/>
    <w:rsid w:val="00602737"/>
    <w:rPr>
      <w:rFonts w:ascii="Arial" w:hAnsi="Arial"/>
      <w:b/>
      <w:sz w:val="22"/>
    </w:rPr>
  </w:style>
  <w:style w:type="paragraph" w:styleId="Odstavekseznama">
    <w:name w:val="List Paragraph"/>
    <w:basedOn w:val="Navaden"/>
    <w:uiPriority w:val="34"/>
    <w:qFormat/>
    <w:rsid w:val="00DC27EE"/>
    <w:pPr>
      <w:ind w:left="720"/>
      <w:contextualSpacing/>
    </w:pPr>
  </w:style>
  <w:style w:type="character" w:customStyle="1" w:styleId="PVBESEDILOZnak">
    <w:name w:val="PV_BESEDILO Znak"/>
    <w:link w:val="PVBESEDILO"/>
    <w:locked/>
    <w:rsid w:val="00DD3E6F"/>
    <w:rPr>
      <w:rFonts w:ascii="EurostileT" w:hAnsi="EurostileT"/>
      <w:sz w:val="22"/>
      <w:lang w:eastAsia="en-US"/>
    </w:rPr>
  </w:style>
  <w:style w:type="paragraph" w:customStyle="1" w:styleId="PVBESEDILO">
    <w:name w:val="PV_BESEDILO"/>
    <w:basedOn w:val="Navaden"/>
    <w:link w:val="PVBESEDILOZnak"/>
    <w:qFormat/>
    <w:rsid w:val="00DD3E6F"/>
    <w:pPr>
      <w:autoSpaceDE/>
      <w:autoSpaceDN/>
      <w:adjustRightInd/>
      <w:snapToGrid w:val="0"/>
      <w:jc w:val="both"/>
    </w:pPr>
    <w:rPr>
      <w:rFonts w:ascii="EurostileT" w:hAnsi="EurostileT"/>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9A6095-CEBB-4380-B664-55B5CA94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1699</Words>
  <Characters>9686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PeterO</dc:creator>
  <cp:keywords/>
  <cp:lastModifiedBy>Frančiška Mestinšek Podbrežnik</cp:lastModifiedBy>
  <cp:revision>2</cp:revision>
  <cp:lastPrinted>2018-05-18T08:39:00Z</cp:lastPrinted>
  <dcterms:created xsi:type="dcterms:W3CDTF">2023-09-11T10:55:00Z</dcterms:created>
  <dcterms:modified xsi:type="dcterms:W3CDTF">2023-09-11T10:55:00Z</dcterms:modified>
</cp:coreProperties>
</file>